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20" w:rsidRPr="00D46964" w:rsidRDefault="00E01A20" w:rsidP="00E01A2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RE</w:t>
      </w:r>
      <w:r w:rsidRPr="00D46964">
        <w:rPr>
          <w:rFonts w:ascii="Arial" w:hAnsi="Arial" w:cs="Arial"/>
          <w:color w:val="000000"/>
          <w:u w:val="single"/>
        </w:rPr>
        <w:t xml:space="preserve">AUCTION NOTICE </w:t>
      </w:r>
    </w:p>
    <w:p w:rsidR="00E01A20" w:rsidRPr="00D46964" w:rsidRDefault="00E01A20" w:rsidP="00E01A20">
      <w:pPr>
        <w:spacing w:line="360" w:lineRule="auto"/>
        <w:rPr>
          <w:rFonts w:ascii="Arial" w:hAnsi="Arial" w:cs="Arial"/>
          <w:color w:val="000000"/>
          <w:u w:val="single"/>
        </w:rPr>
      </w:pPr>
    </w:p>
    <w:p w:rsidR="00E01A20" w:rsidRPr="00D46964" w:rsidRDefault="00E01A20" w:rsidP="00E01A20">
      <w:pPr>
        <w:spacing w:line="360" w:lineRule="auto"/>
        <w:jc w:val="both"/>
        <w:rPr>
          <w:rFonts w:ascii="Arial" w:hAnsi="Arial" w:cs="Arial"/>
        </w:rPr>
      </w:pPr>
      <w:r w:rsidRPr="00D46964">
        <w:rPr>
          <w:rFonts w:ascii="Arial" w:hAnsi="Arial" w:cs="Arial"/>
        </w:rPr>
        <w:t xml:space="preserve">Auction </w:t>
      </w:r>
      <w:r>
        <w:rPr>
          <w:rFonts w:ascii="Arial" w:hAnsi="Arial" w:cs="Arial"/>
        </w:rPr>
        <w:t>of</w:t>
      </w:r>
      <w:r w:rsidRPr="00D4696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teak wood trees (5 </w:t>
      </w:r>
      <w:proofErr w:type="spellStart"/>
      <w:r>
        <w:rPr>
          <w:rFonts w:ascii="Arial" w:hAnsi="Arial" w:cs="Arial"/>
        </w:rPr>
        <w:t>nos</w:t>
      </w:r>
      <w:proofErr w:type="spellEnd"/>
      <w:r>
        <w:rPr>
          <w:rFonts w:ascii="Arial" w:hAnsi="Arial" w:cs="Arial"/>
        </w:rPr>
        <w:t xml:space="preserve">) at the campus of </w:t>
      </w:r>
      <w:r w:rsidRPr="00D46964">
        <w:rPr>
          <w:rFonts w:ascii="Arial" w:hAnsi="Arial" w:cs="Arial"/>
        </w:rPr>
        <w:t xml:space="preserve">the HLL </w:t>
      </w:r>
      <w:proofErr w:type="spellStart"/>
      <w:r w:rsidRPr="00D46964">
        <w:rPr>
          <w:rFonts w:ascii="Arial" w:hAnsi="Arial" w:cs="Arial"/>
        </w:rPr>
        <w:t>Lifecare</w:t>
      </w:r>
      <w:proofErr w:type="spellEnd"/>
      <w:r w:rsidRPr="00D46964">
        <w:rPr>
          <w:rFonts w:ascii="Arial" w:hAnsi="Arial" w:cs="Arial"/>
        </w:rPr>
        <w:t xml:space="preserve"> Limited, Corporate Head Office </w:t>
      </w:r>
      <w:proofErr w:type="spellStart"/>
      <w:r w:rsidRPr="00D46964">
        <w:rPr>
          <w:rFonts w:ascii="Arial" w:hAnsi="Arial" w:cs="Arial"/>
        </w:rPr>
        <w:t>Poojappura</w:t>
      </w:r>
      <w:proofErr w:type="spellEnd"/>
      <w:r w:rsidRPr="00D46964">
        <w:rPr>
          <w:rFonts w:ascii="Arial" w:hAnsi="Arial" w:cs="Arial"/>
        </w:rPr>
        <w:t xml:space="preserve">, </w:t>
      </w:r>
      <w:proofErr w:type="gramStart"/>
      <w:r w:rsidRPr="00D46964">
        <w:rPr>
          <w:rFonts w:ascii="Arial" w:hAnsi="Arial" w:cs="Arial"/>
        </w:rPr>
        <w:t>Trivandrum</w:t>
      </w:r>
      <w:proofErr w:type="gramEnd"/>
      <w:r w:rsidRPr="00D46964">
        <w:rPr>
          <w:rFonts w:ascii="Arial" w:hAnsi="Arial" w:cs="Arial"/>
        </w:rPr>
        <w:t xml:space="preserve"> will be held on </w:t>
      </w:r>
      <w:r>
        <w:rPr>
          <w:rFonts w:ascii="Arial" w:hAnsi="Arial" w:cs="Arial"/>
        </w:rPr>
        <w:t>01.03.2016</w:t>
      </w:r>
      <w:r w:rsidRPr="00D46964">
        <w:rPr>
          <w:rFonts w:ascii="Arial" w:hAnsi="Arial" w:cs="Arial"/>
        </w:rPr>
        <w:t xml:space="preserve"> at 11.00 am. The material can be inspected between 3.00 pm to 5.00pm on all working days in the above campus.</w:t>
      </w:r>
    </w:p>
    <w:p w:rsidR="00E01A20" w:rsidRPr="00D46964" w:rsidRDefault="00E01A20" w:rsidP="00E01A20">
      <w:pPr>
        <w:spacing w:line="360" w:lineRule="auto"/>
        <w:jc w:val="both"/>
        <w:rPr>
          <w:rFonts w:ascii="Arial" w:hAnsi="Arial" w:cs="Arial"/>
          <w:color w:val="EEECE1"/>
        </w:rPr>
      </w:pPr>
    </w:p>
    <w:p w:rsidR="00E01A20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  <w:r w:rsidRPr="00D46964">
        <w:rPr>
          <w:rFonts w:ascii="Arial" w:hAnsi="Arial" w:cs="Arial"/>
          <w:color w:val="000000"/>
        </w:rPr>
        <w:t xml:space="preserve">Interested parties have to submit sealed quotations </w:t>
      </w:r>
      <w:r w:rsidRPr="00BB190D">
        <w:rPr>
          <w:rFonts w:ascii="Arial" w:hAnsi="Arial" w:cs="Arial"/>
          <w:color w:val="000000"/>
        </w:rPr>
        <w:t>stating the total value of the material</w:t>
      </w:r>
      <w:r w:rsidRPr="00D46964">
        <w:rPr>
          <w:rFonts w:ascii="Arial" w:hAnsi="Arial" w:cs="Arial"/>
          <w:color w:val="000000"/>
        </w:rPr>
        <w:t xml:space="preserve"> addressed to the</w:t>
      </w:r>
      <w:r w:rsidRPr="00D46964">
        <w:rPr>
          <w:rFonts w:ascii="Arial" w:hAnsi="Arial" w:cs="Arial"/>
          <w:bCs/>
        </w:rPr>
        <w:t xml:space="preserve"> </w:t>
      </w:r>
      <w:proofErr w:type="spellStart"/>
      <w:r w:rsidRPr="00D46964">
        <w:rPr>
          <w:rFonts w:ascii="Arial" w:hAnsi="Arial" w:cs="Arial"/>
          <w:bCs/>
        </w:rPr>
        <w:t>Sr.Manager</w:t>
      </w:r>
      <w:proofErr w:type="spellEnd"/>
      <w:r w:rsidRPr="00D46964">
        <w:rPr>
          <w:rFonts w:ascii="Arial" w:hAnsi="Arial" w:cs="Arial"/>
          <w:bCs/>
        </w:rPr>
        <w:t xml:space="preserve"> (C),</w:t>
      </w:r>
      <w:r>
        <w:rPr>
          <w:rFonts w:ascii="Arial" w:hAnsi="Arial" w:cs="Arial"/>
          <w:bCs/>
        </w:rPr>
        <w:t xml:space="preserve"> HLL </w:t>
      </w:r>
      <w:proofErr w:type="spellStart"/>
      <w:r>
        <w:rPr>
          <w:rFonts w:ascii="Arial" w:hAnsi="Arial" w:cs="Arial"/>
          <w:bCs/>
        </w:rPr>
        <w:t>Lifecare</w:t>
      </w:r>
      <w:proofErr w:type="spellEnd"/>
      <w:r>
        <w:rPr>
          <w:rFonts w:ascii="Arial" w:hAnsi="Arial" w:cs="Arial"/>
          <w:bCs/>
        </w:rPr>
        <w:t xml:space="preserve"> Ltd</w:t>
      </w:r>
      <w:r w:rsidRPr="0046432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ID </w:t>
      </w:r>
      <w:r w:rsidRPr="0046432F">
        <w:rPr>
          <w:rFonts w:ascii="Arial" w:hAnsi="Arial" w:cs="Arial"/>
          <w:color w:val="000000"/>
        </w:rPr>
        <w:t>Division</w:t>
      </w:r>
      <w:r>
        <w:rPr>
          <w:rFonts w:ascii="Arial" w:hAnsi="Arial" w:cs="Arial"/>
          <w:color w:val="000000"/>
        </w:rPr>
        <w:t xml:space="preserve"> – </w:t>
      </w:r>
      <w:proofErr w:type="spellStart"/>
      <w:proofErr w:type="gramStart"/>
      <w:r w:rsidRPr="0046432F">
        <w:rPr>
          <w:rFonts w:ascii="Arial" w:hAnsi="Arial" w:cs="Arial"/>
          <w:color w:val="000000"/>
        </w:rPr>
        <w:t>Adarsh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46432F"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46432F">
        <w:rPr>
          <w:rFonts w:ascii="Arial" w:hAnsi="Arial" w:cs="Arial"/>
          <w:color w:val="000000"/>
        </w:rPr>
        <w:t>T.C.6/1718,</w:t>
      </w:r>
      <w:r>
        <w:rPr>
          <w:rFonts w:ascii="Arial" w:hAnsi="Arial" w:cs="Arial"/>
          <w:color w:val="000000"/>
        </w:rPr>
        <w:t xml:space="preserve"> </w:t>
      </w:r>
      <w:r w:rsidRPr="0046432F">
        <w:rPr>
          <w:rFonts w:ascii="Arial" w:hAnsi="Arial" w:cs="Arial"/>
          <w:color w:val="000000"/>
        </w:rPr>
        <w:t>Vettamukku</w:t>
      </w:r>
      <w:r>
        <w:rPr>
          <w:rFonts w:ascii="Arial" w:hAnsi="Arial" w:cs="Arial"/>
          <w:color w:val="000000"/>
        </w:rPr>
        <w:t>,Thirumala</w:t>
      </w:r>
      <w:r w:rsidRPr="0046432F">
        <w:rPr>
          <w:rFonts w:ascii="Arial" w:hAnsi="Arial" w:cs="Arial"/>
          <w:color w:val="000000"/>
        </w:rPr>
        <w:t>P.O,</w:t>
      </w:r>
      <w:r w:rsidRPr="00D46964">
        <w:rPr>
          <w:rFonts w:ascii="Arial" w:hAnsi="Arial" w:cs="Arial"/>
          <w:bCs/>
        </w:rPr>
        <w:t>Thiruvananthapuram-695006</w:t>
      </w:r>
      <w:r w:rsidRPr="00D46964">
        <w:rPr>
          <w:rFonts w:ascii="Arial" w:hAnsi="Arial" w:cs="Arial"/>
          <w:color w:val="000000"/>
        </w:rPr>
        <w:t>, up to</w:t>
      </w:r>
      <w:r>
        <w:rPr>
          <w:rFonts w:ascii="Arial" w:hAnsi="Arial" w:cs="Arial"/>
          <w:color w:val="000000"/>
        </w:rPr>
        <w:t xml:space="preserve"> </w:t>
      </w:r>
      <w:r w:rsidRPr="00D46964">
        <w:rPr>
          <w:rFonts w:ascii="Arial" w:hAnsi="Arial" w:cs="Arial"/>
          <w:color w:val="000000"/>
        </w:rPr>
        <w:t xml:space="preserve">10.30am on </w:t>
      </w:r>
      <w:r>
        <w:rPr>
          <w:rFonts w:ascii="Arial" w:hAnsi="Arial" w:cs="Arial"/>
          <w:color w:val="000000"/>
        </w:rPr>
        <w:t>01.03.2016.</w:t>
      </w:r>
    </w:p>
    <w:p w:rsidR="00E01A20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  <w:r w:rsidRPr="00D46964">
        <w:rPr>
          <w:rFonts w:ascii="Arial" w:hAnsi="Arial" w:cs="Arial"/>
          <w:color w:val="000000"/>
        </w:rPr>
        <w:t>.</w:t>
      </w:r>
    </w:p>
    <w:p w:rsidR="00E01A20" w:rsidRPr="00746E7A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  <w:r w:rsidRPr="00D46964"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</w:rPr>
        <w:t xml:space="preserve">e bidder </w:t>
      </w:r>
      <w:r w:rsidRPr="00D46964">
        <w:rPr>
          <w:rFonts w:ascii="Arial" w:hAnsi="Arial" w:cs="Arial"/>
          <w:color w:val="000000"/>
        </w:rPr>
        <w:t xml:space="preserve">have to enclose EMD </w:t>
      </w:r>
      <w:r>
        <w:rPr>
          <w:rFonts w:ascii="Arial" w:hAnsi="Arial" w:cs="Arial"/>
          <w:color w:val="000000"/>
        </w:rPr>
        <w:t xml:space="preserve">of </w:t>
      </w:r>
      <w:proofErr w:type="spellStart"/>
      <w:r w:rsidRPr="00D46964">
        <w:rPr>
          <w:rFonts w:ascii="Arial" w:hAnsi="Arial" w:cs="Arial"/>
          <w:color w:val="000000"/>
        </w:rPr>
        <w:t>Rs</w:t>
      </w:r>
      <w:proofErr w:type="spellEnd"/>
      <w:r w:rsidRPr="00D4696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2500</w:t>
      </w:r>
      <w:r w:rsidRPr="00413359">
        <w:rPr>
          <w:rFonts w:ascii="Arial" w:hAnsi="Arial" w:cs="Arial"/>
          <w:color w:val="000000"/>
        </w:rPr>
        <w:t xml:space="preserve">/- (Rupees  </w:t>
      </w:r>
      <w:r>
        <w:rPr>
          <w:rFonts w:ascii="Arial" w:hAnsi="Arial" w:cs="Arial"/>
          <w:color w:val="000000"/>
        </w:rPr>
        <w:t>Two</w:t>
      </w:r>
      <w:r w:rsidRPr="00413359">
        <w:rPr>
          <w:rFonts w:ascii="Arial" w:hAnsi="Arial" w:cs="Arial"/>
          <w:color w:val="000000"/>
        </w:rPr>
        <w:t xml:space="preserve">  Thousand </w:t>
      </w:r>
      <w:r>
        <w:rPr>
          <w:rFonts w:ascii="Arial" w:hAnsi="Arial" w:cs="Arial"/>
          <w:color w:val="000000"/>
        </w:rPr>
        <w:t xml:space="preserve">Five Hundred </w:t>
      </w:r>
      <w:r w:rsidRPr="00413359">
        <w:rPr>
          <w:rFonts w:ascii="Arial" w:hAnsi="Arial" w:cs="Arial"/>
          <w:color w:val="000000"/>
        </w:rPr>
        <w:t>only)</w:t>
      </w:r>
      <w:r w:rsidRPr="00D46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 the form of </w:t>
      </w:r>
      <w:r w:rsidRPr="00D46964">
        <w:rPr>
          <w:rFonts w:ascii="Arial" w:hAnsi="Arial" w:cs="Arial"/>
          <w:color w:val="000000"/>
        </w:rPr>
        <w:t xml:space="preserve">DD from a Scheduled Bank drawn in </w:t>
      </w:r>
      <w:proofErr w:type="spellStart"/>
      <w:r w:rsidRPr="00D46964">
        <w:rPr>
          <w:rFonts w:ascii="Arial" w:hAnsi="Arial" w:cs="Arial"/>
          <w:color w:val="000000"/>
        </w:rPr>
        <w:t>favour</w:t>
      </w:r>
      <w:proofErr w:type="spellEnd"/>
      <w:r w:rsidRPr="00D46964">
        <w:rPr>
          <w:rFonts w:ascii="Arial" w:hAnsi="Arial" w:cs="Arial"/>
          <w:color w:val="000000"/>
        </w:rPr>
        <w:t xml:space="preserve"> of HLL </w:t>
      </w:r>
      <w:proofErr w:type="spellStart"/>
      <w:r w:rsidRPr="00D46964">
        <w:rPr>
          <w:rFonts w:ascii="Arial" w:hAnsi="Arial" w:cs="Arial"/>
          <w:color w:val="000000"/>
        </w:rPr>
        <w:t>Lifecare</w:t>
      </w:r>
      <w:proofErr w:type="spellEnd"/>
      <w:r w:rsidRPr="00D46964">
        <w:rPr>
          <w:rFonts w:ascii="Arial" w:hAnsi="Arial" w:cs="Arial"/>
          <w:color w:val="000000"/>
        </w:rPr>
        <w:t xml:space="preserve"> Ltd, Thiruvananthapuram payable at Thiruvananthapuram along with ID proof </w:t>
      </w:r>
      <w:r w:rsidRPr="00746E7A">
        <w:rPr>
          <w:rFonts w:ascii="Arial" w:hAnsi="Arial" w:cs="Arial"/>
          <w:color w:val="000000"/>
        </w:rPr>
        <w:t>(pan card).</w:t>
      </w:r>
      <w:r w:rsidRPr="00D46964">
        <w:rPr>
          <w:rFonts w:ascii="Arial" w:hAnsi="Arial" w:cs="Arial"/>
          <w:color w:val="000000"/>
        </w:rPr>
        <w:t xml:space="preserve"> The quotation received without EMD will be rejected</w:t>
      </w:r>
      <w:r>
        <w:rPr>
          <w:rFonts w:ascii="Arial" w:hAnsi="Arial" w:cs="Arial"/>
          <w:color w:val="000000"/>
        </w:rPr>
        <w:t>.</w:t>
      </w:r>
      <w:r w:rsidRPr="00746E7A">
        <w:rPr>
          <w:rFonts w:ascii="Arial" w:hAnsi="Arial" w:cs="Arial"/>
          <w:color w:val="000000"/>
        </w:rPr>
        <w:t xml:space="preserve"> </w:t>
      </w:r>
    </w:p>
    <w:p w:rsidR="00E01A20" w:rsidRPr="00D46964" w:rsidRDefault="00E01A20" w:rsidP="00E01A20">
      <w:pPr>
        <w:rPr>
          <w:rFonts w:ascii="Arial" w:hAnsi="Arial" w:cs="Arial"/>
        </w:rPr>
      </w:pPr>
    </w:p>
    <w:p w:rsidR="00E01A20" w:rsidRPr="00183FCD" w:rsidRDefault="00E01A20" w:rsidP="00E01A20">
      <w:pPr>
        <w:spacing w:line="360" w:lineRule="auto"/>
        <w:rPr>
          <w:rFonts w:ascii="Arial" w:hAnsi="Arial" w:cs="Arial"/>
        </w:rPr>
      </w:pPr>
      <w:r w:rsidRPr="00183FCD">
        <w:rPr>
          <w:rFonts w:ascii="Arial" w:hAnsi="Arial" w:cs="Arial"/>
        </w:rPr>
        <w:t>In case the bidder has submitted the EMD along with the initial tender, the same will be considered for this tender also.</w:t>
      </w:r>
    </w:p>
    <w:p w:rsidR="00E01A20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01A20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  <w:r w:rsidRPr="00D46964">
        <w:rPr>
          <w:rFonts w:ascii="Arial" w:hAnsi="Arial" w:cs="Arial"/>
          <w:color w:val="000000"/>
        </w:rPr>
        <w:t>The EMD remitted by bidders other than the highest will be re</w:t>
      </w:r>
      <w:r>
        <w:rPr>
          <w:rFonts w:ascii="Arial" w:hAnsi="Arial" w:cs="Arial"/>
          <w:color w:val="000000"/>
        </w:rPr>
        <w:t>turned</w:t>
      </w:r>
      <w:r w:rsidRPr="00D46964">
        <w:rPr>
          <w:rFonts w:ascii="Arial" w:hAnsi="Arial" w:cs="Arial"/>
          <w:color w:val="000000"/>
        </w:rPr>
        <w:t xml:space="preserve"> after the finalization of </w:t>
      </w:r>
      <w:r>
        <w:rPr>
          <w:rFonts w:ascii="Arial" w:hAnsi="Arial" w:cs="Arial"/>
          <w:color w:val="000000"/>
        </w:rPr>
        <w:t xml:space="preserve">the </w:t>
      </w:r>
      <w:r w:rsidRPr="00D46964">
        <w:rPr>
          <w:rFonts w:ascii="Arial" w:hAnsi="Arial" w:cs="Arial"/>
          <w:color w:val="000000"/>
        </w:rPr>
        <w:t>tender.</w:t>
      </w:r>
    </w:p>
    <w:p w:rsidR="00E01A20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01A20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  <w:r w:rsidRPr="00BB190D">
        <w:rPr>
          <w:rFonts w:ascii="Arial" w:hAnsi="Arial" w:cs="Arial"/>
          <w:color w:val="000000"/>
        </w:rPr>
        <w:t>The sealed quotations will be opened at the site at 11am</w:t>
      </w:r>
      <w:r>
        <w:rPr>
          <w:rFonts w:ascii="Arial" w:hAnsi="Arial" w:cs="Arial"/>
          <w:color w:val="000000"/>
        </w:rPr>
        <w:t xml:space="preserve"> on 01.03.2016 </w:t>
      </w:r>
      <w:r w:rsidRPr="00BB190D">
        <w:rPr>
          <w:rFonts w:ascii="Arial" w:hAnsi="Arial" w:cs="Arial"/>
          <w:color w:val="000000"/>
        </w:rPr>
        <w:t xml:space="preserve">in the presence of bidders. </w:t>
      </w:r>
      <w:r w:rsidRPr="00D46964">
        <w:rPr>
          <w:rFonts w:ascii="Arial" w:hAnsi="Arial" w:cs="Arial"/>
          <w:color w:val="000000"/>
        </w:rPr>
        <w:t xml:space="preserve">If the </w:t>
      </w:r>
      <w:r>
        <w:rPr>
          <w:rFonts w:ascii="Arial" w:hAnsi="Arial" w:cs="Arial"/>
          <w:color w:val="000000"/>
        </w:rPr>
        <w:t xml:space="preserve">bidder </w:t>
      </w:r>
      <w:r w:rsidRPr="00D46964">
        <w:rPr>
          <w:rFonts w:ascii="Arial" w:hAnsi="Arial" w:cs="Arial"/>
          <w:color w:val="000000"/>
        </w:rPr>
        <w:t xml:space="preserve">who is quoting for the </w:t>
      </w:r>
      <w:r>
        <w:rPr>
          <w:rFonts w:ascii="Arial" w:hAnsi="Arial" w:cs="Arial"/>
          <w:color w:val="000000"/>
        </w:rPr>
        <w:t>auction</w:t>
      </w:r>
      <w:r w:rsidRPr="00D46964">
        <w:rPr>
          <w:rFonts w:ascii="Arial" w:hAnsi="Arial" w:cs="Arial"/>
          <w:color w:val="000000"/>
        </w:rPr>
        <w:t xml:space="preserve"> or his authorized representative is absent at the time of opening, the particular quotation will not </w:t>
      </w:r>
      <w:r>
        <w:rPr>
          <w:rFonts w:ascii="Arial" w:hAnsi="Arial" w:cs="Arial"/>
          <w:color w:val="000000"/>
        </w:rPr>
        <w:t xml:space="preserve">be </w:t>
      </w:r>
      <w:r w:rsidRPr="00D46964">
        <w:rPr>
          <w:rFonts w:ascii="Arial" w:hAnsi="Arial" w:cs="Arial"/>
          <w:color w:val="000000"/>
        </w:rPr>
        <w:t>considered</w:t>
      </w:r>
      <w:r>
        <w:rPr>
          <w:rFonts w:ascii="Arial" w:hAnsi="Arial" w:cs="Arial"/>
          <w:color w:val="000000"/>
        </w:rPr>
        <w:t xml:space="preserve"> for opening.</w:t>
      </w:r>
      <w:r w:rsidRPr="00D46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E01A20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01A20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  <w:r w:rsidRPr="00413359">
        <w:rPr>
          <w:rFonts w:ascii="Arial" w:hAnsi="Arial" w:cs="Arial"/>
          <w:color w:val="000000"/>
        </w:rPr>
        <w:t xml:space="preserve">The highest successful bidder is required to submit the bid amount plus 14.5% </w:t>
      </w:r>
      <w:proofErr w:type="spellStart"/>
      <w:r w:rsidRPr="00413359">
        <w:rPr>
          <w:rFonts w:ascii="Arial" w:hAnsi="Arial" w:cs="Arial"/>
          <w:color w:val="000000"/>
        </w:rPr>
        <w:t>kerala</w:t>
      </w:r>
      <w:proofErr w:type="spellEnd"/>
      <w:r w:rsidRPr="00413359">
        <w:rPr>
          <w:rFonts w:ascii="Arial" w:hAnsi="Arial" w:cs="Arial"/>
          <w:color w:val="000000"/>
        </w:rPr>
        <w:t xml:space="preserve"> VAT</w:t>
      </w:r>
      <w:r>
        <w:rPr>
          <w:rFonts w:ascii="Arial" w:hAnsi="Arial" w:cs="Arial"/>
          <w:color w:val="000000"/>
        </w:rPr>
        <w:t xml:space="preserve"> </w:t>
      </w:r>
      <w:r w:rsidRPr="00413359">
        <w:rPr>
          <w:rFonts w:ascii="Arial" w:hAnsi="Arial" w:cs="Arial"/>
          <w:color w:val="000000"/>
        </w:rPr>
        <w:t>+ 5% of the amount against forest development tax (FDT) within 24 hours of fixing the bid</w:t>
      </w:r>
      <w:r>
        <w:rPr>
          <w:rFonts w:ascii="Arial" w:hAnsi="Arial" w:cs="Arial"/>
          <w:color w:val="000000"/>
        </w:rPr>
        <w:t xml:space="preserve">. </w:t>
      </w:r>
      <w:r w:rsidRPr="00D46964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bid amount</w:t>
      </w:r>
      <w:r w:rsidRPr="00D46964">
        <w:rPr>
          <w:rFonts w:ascii="Arial" w:hAnsi="Arial" w:cs="Arial"/>
          <w:color w:val="000000"/>
        </w:rPr>
        <w:t xml:space="preserve"> including taxes has to </w:t>
      </w:r>
      <w:r>
        <w:rPr>
          <w:rFonts w:ascii="Arial" w:hAnsi="Arial" w:cs="Arial"/>
          <w:color w:val="000000"/>
        </w:rPr>
        <w:t xml:space="preserve">be </w:t>
      </w:r>
      <w:r w:rsidRPr="00D46964">
        <w:rPr>
          <w:rFonts w:ascii="Arial" w:hAnsi="Arial" w:cs="Arial"/>
          <w:color w:val="000000"/>
        </w:rPr>
        <w:t>deposit</w:t>
      </w:r>
      <w:r>
        <w:rPr>
          <w:rFonts w:ascii="Arial" w:hAnsi="Arial" w:cs="Arial"/>
          <w:color w:val="000000"/>
        </w:rPr>
        <w:t>ed</w:t>
      </w:r>
      <w:r w:rsidRPr="00D46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 the form of </w:t>
      </w:r>
      <w:r w:rsidRPr="00D46964">
        <w:rPr>
          <w:rFonts w:ascii="Arial" w:hAnsi="Arial" w:cs="Arial"/>
          <w:color w:val="000000"/>
        </w:rPr>
        <w:t>DD</w:t>
      </w:r>
      <w:r>
        <w:rPr>
          <w:rFonts w:ascii="Arial" w:hAnsi="Arial" w:cs="Arial"/>
          <w:color w:val="000000"/>
        </w:rPr>
        <w:t xml:space="preserve"> drawn</w:t>
      </w:r>
      <w:r w:rsidRPr="00D46964">
        <w:rPr>
          <w:rFonts w:ascii="Arial" w:hAnsi="Arial" w:cs="Arial"/>
          <w:color w:val="000000"/>
        </w:rPr>
        <w:t xml:space="preserve"> in </w:t>
      </w:r>
      <w:proofErr w:type="spellStart"/>
      <w:r w:rsidRPr="00D46964">
        <w:rPr>
          <w:rFonts w:ascii="Arial" w:hAnsi="Arial" w:cs="Arial"/>
          <w:color w:val="000000"/>
        </w:rPr>
        <w:t>favo</w:t>
      </w:r>
      <w:r>
        <w:rPr>
          <w:rFonts w:ascii="Arial" w:hAnsi="Arial" w:cs="Arial"/>
          <w:color w:val="000000"/>
        </w:rPr>
        <w:t>u</w:t>
      </w:r>
      <w:r w:rsidRPr="00D46964">
        <w:rPr>
          <w:rFonts w:ascii="Arial" w:hAnsi="Arial" w:cs="Arial"/>
          <w:color w:val="000000"/>
        </w:rPr>
        <w:t>r</w:t>
      </w:r>
      <w:proofErr w:type="spellEnd"/>
      <w:r w:rsidRPr="00D46964">
        <w:rPr>
          <w:rFonts w:ascii="Arial" w:hAnsi="Arial" w:cs="Arial"/>
          <w:color w:val="000000"/>
        </w:rPr>
        <w:t xml:space="preserve"> of HLL </w:t>
      </w:r>
      <w:proofErr w:type="spellStart"/>
      <w:r w:rsidRPr="00D46964">
        <w:rPr>
          <w:rFonts w:ascii="Arial" w:hAnsi="Arial" w:cs="Arial"/>
          <w:color w:val="000000"/>
        </w:rPr>
        <w:t>Lifecare</w:t>
      </w:r>
      <w:proofErr w:type="spellEnd"/>
      <w:r w:rsidRPr="00D46964">
        <w:rPr>
          <w:rFonts w:ascii="Arial" w:hAnsi="Arial" w:cs="Arial"/>
          <w:color w:val="000000"/>
        </w:rPr>
        <w:t xml:space="preserve"> Ltd, Thiruvananthapuram payable at Thiruvananthapuram on the same day</w:t>
      </w:r>
      <w:r w:rsidRPr="00D46964">
        <w:rPr>
          <w:rFonts w:ascii="Arial" w:hAnsi="Arial" w:cs="Arial"/>
          <w:b/>
          <w:bCs/>
          <w:color w:val="000000"/>
        </w:rPr>
        <w:t>.</w:t>
      </w:r>
      <w:r w:rsidRPr="00BB190D">
        <w:rPr>
          <w:rFonts w:ascii="Arial" w:hAnsi="Arial" w:cs="Arial"/>
          <w:color w:val="000000"/>
        </w:rPr>
        <w:t xml:space="preserve"> </w:t>
      </w:r>
      <w:r w:rsidRPr="00D46964">
        <w:rPr>
          <w:rFonts w:ascii="Arial" w:hAnsi="Arial" w:cs="Arial"/>
          <w:color w:val="000000"/>
        </w:rPr>
        <w:t xml:space="preserve">The EMD will be forfeited if the bid amount is not deposited by the </w:t>
      </w:r>
      <w:r>
        <w:rPr>
          <w:rFonts w:ascii="Arial" w:hAnsi="Arial" w:cs="Arial"/>
          <w:color w:val="000000"/>
        </w:rPr>
        <w:t xml:space="preserve">highest </w:t>
      </w:r>
      <w:r w:rsidRPr="00D46964">
        <w:rPr>
          <w:rFonts w:ascii="Arial" w:hAnsi="Arial" w:cs="Arial"/>
          <w:color w:val="000000"/>
        </w:rPr>
        <w:t>bidder within 24 hours of fixing the bid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>HLL</w:t>
      </w:r>
      <w:r w:rsidRPr="00D46964">
        <w:rPr>
          <w:rFonts w:ascii="Arial" w:hAnsi="Arial" w:cs="Arial"/>
          <w:color w:val="000000"/>
        </w:rPr>
        <w:t xml:space="preserve"> reserves the right to accept or reject the offer without assigning any reason what so ever and the decision will be final and binding on all bidders. </w:t>
      </w:r>
    </w:p>
    <w:p w:rsidR="00E01A20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  <w:r w:rsidRPr="00D46964">
        <w:rPr>
          <w:rFonts w:ascii="Arial" w:hAnsi="Arial" w:cs="Arial"/>
          <w:color w:val="000000"/>
        </w:rPr>
        <w:lastRenderedPageBreak/>
        <w:t xml:space="preserve">The successful bidder </w:t>
      </w:r>
      <w:r>
        <w:rPr>
          <w:rFonts w:ascii="Arial" w:hAnsi="Arial" w:cs="Arial"/>
          <w:color w:val="000000"/>
        </w:rPr>
        <w:t xml:space="preserve">shall arrange for felling trees without damage to the surrounding property and clear the site of all the serviceable and unserviceable material from the site within </w:t>
      </w:r>
      <w:r>
        <w:rPr>
          <w:rFonts w:ascii="Arial" w:hAnsi="Arial" w:cs="Arial"/>
          <w:b/>
          <w:bCs/>
          <w:color w:val="000000"/>
        </w:rPr>
        <w:t>5</w:t>
      </w:r>
      <w:r w:rsidRPr="00D46964">
        <w:rPr>
          <w:rFonts w:ascii="Arial" w:hAnsi="Arial" w:cs="Arial"/>
          <w:b/>
          <w:bCs/>
          <w:color w:val="000000"/>
        </w:rPr>
        <w:t xml:space="preserve"> days</w:t>
      </w:r>
      <w:r w:rsidRPr="00D46964">
        <w:rPr>
          <w:rFonts w:ascii="Arial" w:hAnsi="Arial" w:cs="Arial"/>
          <w:color w:val="000000"/>
        </w:rPr>
        <w:t xml:space="preserve"> of receipt of order. Obtaining the necessary sanction from the competent authority for transporting the material</w:t>
      </w:r>
      <w:r>
        <w:rPr>
          <w:rFonts w:ascii="Arial" w:hAnsi="Arial" w:cs="Arial"/>
          <w:color w:val="000000"/>
        </w:rPr>
        <w:t>s</w:t>
      </w:r>
      <w:r w:rsidRPr="00D46964">
        <w:rPr>
          <w:rFonts w:ascii="Arial" w:hAnsi="Arial" w:cs="Arial"/>
          <w:color w:val="000000"/>
        </w:rPr>
        <w:t xml:space="preserve"> will be responsibility of the successful bidder. </w:t>
      </w:r>
    </w:p>
    <w:p w:rsidR="00E01A20" w:rsidRPr="00D46964" w:rsidRDefault="00E01A20" w:rsidP="00E01A2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successful bidder has to submit a performance guarantee of Rs.5000/- (Rupees Five Thousand only) in the form of DD </w:t>
      </w:r>
      <w:r w:rsidRPr="00D46964">
        <w:rPr>
          <w:rFonts w:ascii="Arial" w:hAnsi="Arial" w:cs="Arial"/>
          <w:color w:val="000000"/>
        </w:rPr>
        <w:t xml:space="preserve">from a Scheduled Bank drawn in </w:t>
      </w:r>
      <w:proofErr w:type="spellStart"/>
      <w:r w:rsidRPr="00D46964">
        <w:rPr>
          <w:rFonts w:ascii="Arial" w:hAnsi="Arial" w:cs="Arial"/>
          <w:color w:val="000000"/>
        </w:rPr>
        <w:t>favour</w:t>
      </w:r>
      <w:proofErr w:type="spellEnd"/>
      <w:r w:rsidRPr="00D46964">
        <w:rPr>
          <w:rFonts w:ascii="Arial" w:hAnsi="Arial" w:cs="Arial"/>
          <w:color w:val="000000"/>
        </w:rPr>
        <w:t xml:space="preserve"> of HLL </w:t>
      </w:r>
      <w:proofErr w:type="spellStart"/>
      <w:r w:rsidRPr="00D46964">
        <w:rPr>
          <w:rFonts w:ascii="Arial" w:hAnsi="Arial" w:cs="Arial"/>
          <w:color w:val="000000"/>
        </w:rPr>
        <w:t>Lifecare</w:t>
      </w:r>
      <w:proofErr w:type="spellEnd"/>
      <w:r w:rsidRPr="00D46964">
        <w:rPr>
          <w:rFonts w:ascii="Arial" w:hAnsi="Arial" w:cs="Arial"/>
          <w:color w:val="000000"/>
        </w:rPr>
        <w:t xml:space="preserve"> Ltd, Thiruvananthapuram payable at Thiruvananthapuram</w:t>
      </w:r>
      <w:r>
        <w:rPr>
          <w:rFonts w:ascii="Arial" w:hAnsi="Arial" w:cs="Arial"/>
          <w:color w:val="000000"/>
        </w:rPr>
        <w:t xml:space="preserve"> which  will be returned to the successful bidder only on clearing the site of all materials.</w:t>
      </w:r>
    </w:p>
    <w:p w:rsidR="00E01A20" w:rsidRDefault="00E01A20" w:rsidP="00E01A20">
      <w:pPr>
        <w:spacing w:line="288" w:lineRule="auto"/>
        <w:jc w:val="both"/>
        <w:rPr>
          <w:rFonts w:ascii="Arial" w:hAnsi="Arial" w:cs="Arial"/>
          <w:color w:val="000000"/>
        </w:rPr>
      </w:pPr>
    </w:p>
    <w:p w:rsidR="00E01A20" w:rsidRDefault="00E01A20" w:rsidP="00E01A20">
      <w:pPr>
        <w:spacing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schedule is attached as </w:t>
      </w:r>
      <w:r w:rsidRPr="004531CC">
        <w:rPr>
          <w:rFonts w:ascii="Arial" w:hAnsi="Arial" w:cs="Arial"/>
          <w:b/>
          <w:bCs/>
          <w:color w:val="000000"/>
        </w:rPr>
        <w:t xml:space="preserve">ANNEXURE </w:t>
      </w:r>
      <w:r>
        <w:rPr>
          <w:rFonts w:ascii="Arial" w:hAnsi="Arial" w:cs="Arial"/>
          <w:b/>
          <w:bCs/>
          <w:color w:val="000000"/>
        </w:rPr>
        <w:t xml:space="preserve">– </w:t>
      </w:r>
      <w:r w:rsidRPr="004531CC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color w:val="000000"/>
        </w:rPr>
        <w:t>.</w:t>
      </w:r>
    </w:p>
    <w:p w:rsidR="00E01A20" w:rsidRDefault="00E01A20" w:rsidP="00E01A20">
      <w:pPr>
        <w:spacing w:line="288" w:lineRule="auto"/>
        <w:jc w:val="right"/>
        <w:rPr>
          <w:rFonts w:ascii="Arial" w:hAnsi="Arial" w:cs="Arial"/>
          <w:color w:val="000000"/>
        </w:rPr>
      </w:pPr>
    </w:p>
    <w:p w:rsidR="00E01A20" w:rsidRDefault="00E01A20" w:rsidP="00E01A20">
      <w:pPr>
        <w:spacing w:line="288" w:lineRule="auto"/>
        <w:jc w:val="right"/>
        <w:rPr>
          <w:rFonts w:ascii="Arial" w:hAnsi="Arial" w:cs="Arial"/>
          <w:color w:val="000000"/>
        </w:rPr>
      </w:pPr>
    </w:p>
    <w:p w:rsidR="00E01A20" w:rsidRDefault="00E01A20" w:rsidP="00E01A20">
      <w:pPr>
        <w:spacing w:line="288" w:lineRule="auto"/>
        <w:jc w:val="right"/>
        <w:rPr>
          <w:rFonts w:ascii="Arial" w:hAnsi="Arial" w:cs="Arial"/>
          <w:color w:val="000000"/>
        </w:rPr>
      </w:pPr>
    </w:p>
    <w:p w:rsidR="00E01A20" w:rsidRDefault="00E01A20" w:rsidP="00E01A20">
      <w:pPr>
        <w:spacing w:line="288" w:lineRule="auto"/>
        <w:jc w:val="right"/>
        <w:rPr>
          <w:rFonts w:ascii="Arial" w:hAnsi="Arial" w:cs="Arial"/>
          <w:color w:val="000000"/>
        </w:rPr>
      </w:pPr>
    </w:p>
    <w:p w:rsidR="00E01A20" w:rsidRDefault="00E01A20" w:rsidP="00E01A20">
      <w:pPr>
        <w:spacing w:line="288" w:lineRule="auto"/>
        <w:jc w:val="right"/>
        <w:rPr>
          <w:rFonts w:ascii="Arial" w:hAnsi="Arial" w:cs="Arial"/>
          <w:color w:val="000000"/>
        </w:rPr>
      </w:pPr>
    </w:p>
    <w:p w:rsidR="00E01A20" w:rsidRPr="00D46964" w:rsidRDefault="00E01A20" w:rsidP="00E01A20">
      <w:pPr>
        <w:spacing w:line="288" w:lineRule="auto"/>
        <w:jc w:val="right"/>
        <w:rPr>
          <w:rFonts w:ascii="Arial" w:hAnsi="Arial" w:cs="Arial"/>
          <w:color w:val="000000"/>
        </w:rPr>
      </w:pPr>
      <w:proofErr w:type="spellStart"/>
      <w:r w:rsidRPr="00D46964">
        <w:rPr>
          <w:rFonts w:ascii="Arial" w:hAnsi="Arial" w:cs="Arial"/>
          <w:color w:val="000000"/>
        </w:rPr>
        <w:t>Sr.Manager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D46964">
        <w:rPr>
          <w:rFonts w:ascii="Arial" w:hAnsi="Arial" w:cs="Arial"/>
          <w:color w:val="000000"/>
        </w:rPr>
        <w:t>(Civil)</w:t>
      </w:r>
    </w:p>
    <w:p w:rsidR="00E01A20" w:rsidRDefault="00E01A20" w:rsidP="00E01A20">
      <w:pPr>
        <w:spacing w:line="288" w:lineRule="auto"/>
        <w:jc w:val="right"/>
        <w:rPr>
          <w:rFonts w:ascii="Arial" w:hAnsi="Arial" w:cs="Arial"/>
          <w:color w:val="000000"/>
        </w:rPr>
      </w:pPr>
    </w:p>
    <w:p w:rsidR="00E01A20" w:rsidRDefault="00E01A20" w:rsidP="00E01A20">
      <w:pPr>
        <w:spacing w:line="288" w:lineRule="auto"/>
        <w:jc w:val="right"/>
        <w:rPr>
          <w:rFonts w:ascii="Arial" w:hAnsi="Arial" w:cs="Arial"/>
          <w:color w:val="000000"/>
        </w:rPr>
      </w:pPr>
    </w:p>
    <w:p w:rsidR="00E01A20" w:rsidRDefault="00E01A20" w:rsidP="00E01A20">
      <w:pPr>
        <w:spacing w:line="288" w:lineRule="auto"/>
        <w:jc w:val="right"/>
        <w:rPr>
          <w:rFonts w:ascii="Arial" w:hAnsi="Arial" w:cs="Arial"/>
          <w:color w:val="000000"/>
        </w:rPr>
      </w:pPr>
    </w:p>
    <w:p w:rsidR="00E01A20" w:rsidRPr="00EB3ADF" w:rsidRDefault="00E01A20" w:rsidP="00E01A20"/>
    <w:p w:rsidR="00E01A20" w:rsidRPr="00EB3ADF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/>
    <w:p w:rsidR="00E01A20" w:rsidRDefault="00E01A20" w:rsidP="00E01A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ANNEXURE - I</w:t>
      </w:r>
    </w:p>
    <w:p w:rsidR="00E01A20" w:rsidRDefault="00E01A20" w:rsidP="00E01A20">
      <w:pPr>
        <w:rPr>
          <w:b/>
          <w:bCs/>
          <w:sz w:val="28"/>
          <w:szCs w:val="28"/>
        </w:rPr>
      </w:pPr>
    </w:p>
    <w:p w:rsidR="00E01A20" w:rsidRDefault="00E01A20" w:rsidP="00E01A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SCHEDULE</w:t>
      </w:r>
    </w:p>
    <w:p w:rsidR="00E01A20" w:rsidRDefault="00E01A20" w:rsidP="00E01A20"/>
    <w:p w:rsidR="00E01A20" w:rsidRDefault="00E01A20" w:rsidP="00E01A20"/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tbl>
      <w:tblPr>
        <w:tblpPr w:leftFromText="180" w:rightFromText="180" w:vertAnchor="page" w:horzAnchor="margin" w:tblpY="415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1417"/>
        <w:gridCol w:w="2410"/>
      </w:tblGrid>
      <w:tr w:rsidR="00E01A20" w:rsidRPr="00036019" w:rsidTr="00893412">
        <w:trPr>
          <w:trHeight w:val="710"/>
        </w:trPr>
        <w:tc>
          <w:tcPr>
            <w:tcW w:w="1101" w:type="dxa"/>
            <w:vAlign w:val="center"/>
          </w:tcPr>
          <w:p w:rsidR="00E01A20" w:rsidRPr="00EB3ADF" w:rsidRDefault="00E01A20" w:rsidP="0089341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</w:pPr>
            <w:r w:rsidRPr="00EB3ADF"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  <w:t>Sl.NO</w:t>
            </w:r>
          </w:p>
        </w:tc>
        <w:tc>
          <w:tcPr>
            <w:tcW w:w="3827" w:type="dxa"/>
            <w:vAlign w:val="center"/>
          </w:tcPr>
          <w:p w:rsidR="00E01A20" w:rsidRPr="00EB3ADF" w:rsidRDefault="00E01A20" w:rsidP="0089341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</w:pPr>
            <w:r w:rsidRPr="00EB3ADF"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  <w:t>Description</w:t>
            </w:r>
          </w:p>
        </w:tc>
        <w:tc>
          <w:tcPr>
            <w:tcW w:w="1417" w:type="dxa"/>
          </w:tcPr>
          <w:p w:rsidR="00E01A20" w:rsidRDefault="00E01A20" w:rsidP="0089341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</w:pPr>
          </w:p>
          <w:p w:rsidR="00E01A20" w:rsidRPr="00EB3ADF" w:rsidRDefault="00E01A20" w:rsidP="0089341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  <w:t>Nos</w:t>
            </w:r>
            <w:proofErr w:type="spellEnd"/>
          </w:p>
        </w:tc>
        <w:tc>
          <w:tcPr>
            <w:tcW w:w="2410" w:type="dxa"/>
            <w:vAlign w:val="center"/>
          </w:tcPr>
          <w:p w:rsidR="00E01A20" w:rsidRPr="00EB3ADF" w:rsidRDefault="00E01A20" w:rsidP="0089341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</w:pPr>
            <w:r w:rsidRPr="00EB3ADF"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  <w:t>Quantity</w:t>
            </w:r>
          </w:p>
        </w:tc>
      </w:tr>
      <w:tr w:rsidR="00E01A20" w:rsidRPr="00036019" w:rsidTr="00893412">
        <w:trPr>
          <w:trHeight w:val="710"/>
        </w:trPr>
        <w:tc>
          <w:tcPr>
            <w:tcW w:w="1101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>
              <w:rPr>
                <w:rFonts w:ascii="Arial" w:hAnsi="Arial" w:cs="Arial"/>
                <w:color w:val="000000"/>
                <w:lang w:eastAsia="en-IN" w:bidi="hi-IN"/>
              </w:rPr>
              <w:t>1.</w:t>
            </w:r>
          </w:p>
        </w:tc>
        <w:tc>
          <w:tcPr>
            <w:tcW w:w="3827" w:type="dxa"/>
            <w:vAlign w:val="center"/>
          </w:tcPr>
          <w:p w:rsidR="00E01A20" w:rsidRPr="00036019" w:rsidRDefault="00E01A20" w:rsidP="008934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 xml:space="preserve">Teak wood </w:t>
            </w:r>
            <w:r w:rsidRPr="00036019"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  <w:t xml:space="preserve"> (BH -103cm)</w:t>
            </w:r>
          </w:p>
        </w:tc>
        <w:tc>
          <w:tcPr>
            <w:tcW w:w="1417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>
              <w:rPr>
                <w:rFonts w:ascii="Arial" w:hAnsi="Arial" w:cs="Arial"/>
                <w:color w:val="000000"/>
                <w:lang w:eastAsia="en-IN" w:bidi="hi-IN"/>
              </w:rPr>
              <w:t>1</w:t>
            </w:r>
          </w:p>
        </w:tc>
        <w:tc>
          <w:tcPr>
            <w:tcW w:w="2410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>0.667</w:t>
            </w:r>
            <w:r>
              <w:rPr>
                <w:rFonts w:ascii="Arial" w:hAnsi="Arial" w:cs="Arial"/>
                <w:color w:val="000000"/>
                <w:lang w:eastAsia="en-IN" w:bidi="hi-IN"/>
              </w:rPr>
              <w:t xml:space="preserve"> </w:t>
            </w: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>m3</w:t>
            </w:r>
          </w:p>
        </w:tc>
      </w:tr>
      <w:tr w:rsidR="00E01A20" w:rsidRPr="00036019" w:rsidTr="00893412">
        <w:trPr>
          <w:trHeight w:val="617"/>
        </w:trPr>
        <w:tc>
          <w:tcPr>
            <w:tcW w:w="1101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>2</w:t>
            </w:r>
            <w:r>
              <w:rPr>
                <w:rFonts w:ascii="Arial" w:hAnsi="Arial" w:cs="Arial"/>
                <w:color w:val="000000"/>
                <w:lang w:eastAsia="en-IN" w:bidi="hi-IN"/>
              </w:rPr>
              <w:t>.</w:t>
            </w:r>
          </w:p>
        </w:tc>
        <w:tc>
          <w:tcPr>
            <w:tcW w:w="3827" w:type="dxa"/>
            <w:vAlign w:val="center"/>
          </w:tcPr>
          <w:p w:rsidR="00E01A20" w:rsidRPr="00036019" w:rsidRDefault="00E01A20" w:rsidP="008934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>Teak wood  (</w:t>
            </w:r>
            <w:r w:rsidRPr="00036019"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  <w:t xml:space="preserve"> BH -75cm)</w:t>
            </w:r>
          </w:p>
        </w:tc>
        <w:tc>
          <w:tcPr>
            <w:tcW w:w="1417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>
              <w:rPr>
                <w:rFonts w:ascii="Arial" w:hAnsi="Arial" w:cs="Arial"/>
                <w:color w:val="000000"/>
                <w:lang w:eastAsia="en-IN" w:bidi="hi-IN"/>
              </w:rPr>
              <w:t>1</w:t>
            </w:r>
          </w:p>
        </w:tc>
        <w:tc>
          <w:tcPr>
            <w:tcW w:w="2410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>0.250m3</w:t>
            </w:r>
          </w:p>
        </w:tc>
      </w:tr>
      <w:tr w:rsidR="00E01A20" w:rsidRPr="00036019" w:rsidTr="00893412">
        <w:trPr>
          <w:trHeight w:val="617"/>
        </w:trPr>
        <w:tc>
          <w:tcPr>
            <w:tcW w:w="1101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>3.</w:t>
            </w:r>
          </w:p>
        </w:tc>
        <w:tc>
          <w:tcPr>
            <w:tcW w:w="3827" w:type="dxa"/>
            <w:vAlign w:val="center"/>
          </w:tcPr>
          <w:p w:rsidR="00E01A20" w:rsidRPr="00036019" w:rsidRDefault="00E01A20" w:rsidP="008934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 xml:space="preserve">Teak wood </w:t>
            </w:r>
            <w:r w:rsidRPr="00036019"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  <w:t xml:space="preserve"> (BH -90cm)</w:t>
            </w:r>
          </w:p>
        </w:tc>
        <w:tc>
          <w:tcPr>
            <w:tcW w:w="1417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>
              <w:rPr>
                <w:rFonts w:ascii="Arial" w:hAnsi="Arial" w:cs="Arial"/>
                <w:color w:val="000000"/>
                <w:lang w:eastAsia="en-IN" w:bidi="hi-IN"/>
              </w:rPr>
              <w:t>2</w:t>
            </w:r>
          </w:p>
        </w:tc>
        <w:tc>
          <w:tcPr>
            <w:tcW w:w="2410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>0.287 m3</w:t>
            </w:r>
          </w:p>
        </w:tc>
      </w:tr>
      <w:tr w:rsidR="00E01A20" w:rsidRPr="00036019" w:rsidTr="00893412">
        <w:trPr>
          <w:trHeight w:val="617"/>
        </w:trPr>
        <w:tc>
          <w:tcPr>
            <w:tcW w:w="1101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>4.</w:t>
            </w:r>
          </w:p>
        </w:tc>
        <w:tc>
          <w:tcPr>
            <w:tcW w:w="3827" w:type="dxa"/>
            <w:vAlign w:val="center"/>
          </w:tcPr>
          <w:p w:rsidR="00E01A20" w:rsidRPr="00036019" w:rsidRDefault="00E01A20" w:rsidP="008934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 xml:space="preserve">Teak wood </w:t>
            </w:r>
            <w:r w:rsidRPr="00036019">
              <w:rPr>
                <w:rFonts w:ascii="Arial" w:hAnsi="Arial" w:cs="Arial"/>
                <w:b/>
                <w:bCs/>
                <w:color w:val="000000"/>
                <w:lang w:eastAsia="en-IN" w:bidi="hi-IN"/>
              </w:rPr>
              <w:t xml:space="preserve"> (BH -102cm)</w:t>
            </w:r>
          </w:p>
        </w:tc>
        <w:tc>
          <w:tcPr>
            <w:tcW w:w="1417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>
              <w:rPr>
                <w:rFonts w:ascii="Arial" w:hAnsi="Arial" w:cs="Arial"/>
                <w:color w:val="000000"/>
                <w:lang w:eastAsia="en-IN" w:bidi="hi-IN"/>
              </w:rPr>
              <w:t>1</w:t>
            </w:r>
          </w:p>
        </w:tc>
        <w:tc>
          <w:tcPr>
            <w:tcW w:w="2410" w:type="dxa"/>
            <w:vAlign w:val="center"/>
          </w:tcPr>
          <w:p w:rsidR="00E01A20" w:rsidRPr="00036019" w:rsidRDefault="00E01A20" w:rsidP="00893412">
            <w:pPr>
              <w:jc w:val="center"/>
              <w:rPr>
                <w:rFonts w:ascii="Arial" w:hAnsi="Arial" w:cs="Arial"/>
                <w:color w:val="000000"/>
                <w:lang w:eastAsia="en-IN" w:bidi="hi-IN"/>
              </w:rPr>
            </w:pP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>0.667</w:t>
            </w:r>
            <w:r>
              <w:rPr>
                <w:rFonts w:ascii="Arial" w:hAnsi="Arial" w:cs="Arial"/>
                <w:color w:val="000000"/>
                <w:lang w:eastAsia="en-IN" w:bidi="hi-IN"/>
              </w:rPr>
              <w:t xml:space="preserve"> </w:t>
            </w:r>
            <w:r w:rsidRPr="00036019">
              <w:rPr>
                <w:rFonts w:ascii="Arial" w:hAnsi="Arial" w:cs="Arial"/>
                <w:color w:val="000000"/>
                <w:lang w:eastAsia="en-IN" w:bidi="hi-IN"/>
              </w:rPr>
              <w:t>m3</w:t>
            </w:r>
          </w:p>
        </w:tc>
      </w:tr>
      <w:tr w:rsidR="00E01A20" w:rsidRPr="00036019" w:rsidTr="00893412">
        <w:trPr>
          <w:trHeight w:val="527"/>
        </w:trPr>
        <w:tc>
          <w:tcPr>
            <w:tcW w:w="1101" w:type="dxa"/>
            <w:vAlign w:val="center"/>
          </w:tcPr>
          <w:p w:rsidR="00E01A20" w:rsidRPr="00036019" w:rsidRDefault="00E01A20" w:rsidP="00893412">
            <w:pPr>
              <w:spacing w:line="288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827" w:type="dxa"/>
            <w:vAlign w:val="center"/>
          </w:tcPr>
          <w:p w:rsidR="00E01A20" w:rsidRPr="00036019" w:rsidRDefault="00E01A20" w:rsidP="00893412">
            <w:pPr>
              <w:spacing w:line="288" w:lineRule="auto"/>
              <w:rPr>
                <w:rFonts w:ascii="Arial" w:hAnsi="Arial" w:cs="Arial"/>
                <w:color w:val="000000"/>
              </w:rPr>
            </w:pPr>
            <w:r w:rsidRPr="00036019">
              <w:rPr>
                <w:rFonts w:ascii="Arial" w:hAnsi="Arial" w:cs="Arial"/>
                <w:color w:val="000000"/>
              </w:rPr>
              <w:t>Fire wood</w:t>
            </w:r>
          </w:p>
        </w:tc>
        <w:tc>
          <w:tcPr>
            <w:tcW w:w="1417" w:type="dxa"/>
          </w:tcPr>
          <w:p w:rsidR="00E01A20" w:rsidRPr="00036019" w:rsidRDefault="00E01A20" w:rsidP="00893412">
            <w:pPr>
              <w:spacing w:line="288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E01A20" w:rsidRPr="00036019" w:rsidRDefault="00E01A20" w:rsidP="00893412">
            <w:pPr>
              <w:spacing w:line="288" w:lineRule="auto"/>
              <w:jc w:val="center"/>
              <w:rPr>
                <w:rFonts w:ascii="Arial" w:hAnsi="Arial" w:cs="Arial"/>
                <w:color w:val="000000"/>
              </w:rPr>
            </w:pPr>
            <w:r w:rsidRPr="00036019">
              <w:rPr>
                <w:rFonts w:ascii="Arial" w:hAnsi="Arial" w:cs="Arial"/>
                <w:color w:val="000000"/>
              </w:rPr>
              <w:t>0.43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36019">
              <w:rPr>
                <w:rFonts w:ascii="Arial" w:hAnsi="Arial" w:cs="Arial"/>
                <w:color w:val="000000"/>
              </w:rPr>
              <w:t>MT</w:t>
            </w:r>
          </w:p>
        </w:tc>
      </w:tr>
      <w:tr w:rsidR="00E01A20" w:rsidRPr="00036019" w:rsidTr="00893412">
        <w:trPr>
          <w:trHeight w:val="617"/>
        </w:trPr>
        <w:tc>
          <w:tcPr>
            <w:tcW w:w="1101" w:type="dxa"/>
            <w:vAlign w:val="center"/>
          </w:tcPr>
          <w:p w:rsidR="00E01A20" w:rsidRPr="00036019" w:rsidRDefault="00E01A20" w:rsidP="00893412">
            <w:pPr>
              <w:spacing w:line="288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27" w:type="dxa"/>
            <w:vAlign w:val="center"/>
          </w:tcPr>
          <w:p w:rsidR="00E01A20" w:rsidRPr="00036019" w:rsidRDefault="00E01A20" w:rsidP="00893412">
            <w:pPr>
              <w:spacing w:line="288" w:lineRule="auto"/>
              <w:rPr>
                <w:rFonts w:ascii="Arial" w:hAnsi="Arial" w:cs="Arial"/>
                <w:color w:val="000000"/>
              </w:rPr>
            </w:pPr>
            <w:r w:rsidRPr="00036019">
              <w:rPr>
                <w:rFonts w:ascii="Arial" w:hAnsi="Arial" w:cs="Arial"/>
                <w:color w:val="000000"/>
              </w:rPr>
              <w:t>Fire wood</w:t>
            </w:r>
          </w:p>
        </w:tc>
        <w:tc>
          <w:tcPr>
            <w:tcW w:w="1417" w:type="dxa"/>
          </w:tcPr>
          <w:p w:rsidR="00E01A20" w:rsidRPr="00036019" w:rsidRDefault="00E01A20" w:rsidP="00893412">
            <w:pPr>
              <w:spacing w:line="288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E01A20" w:rsidRPr="00036019" w:rsidRDefault="00E01A20" w:rsidP="00893412">
            <w:pPr>
              <w:spacing w:line="288" w:lineRule="auto"/>
              <w:jc w:val="center"/>
              <w:rPr>
                <w:rFonts w:ascii="Arial" w:hAnsi="Arial" w:cs="Arial"/>
                <w:color w:val="000000"/>
              </w:rPr>
            </w:pPr>
            <w:r w:rsidRPr="00036019">
              <w:rPr>
                <w:rFonts w:ascii="Arial" w:hAnsi="Arial" w:cs="Arial"/>
                <w:color w:val="000000"/>
              </w:rPr>
              <w:t>0.27 MT</w:t>
            </w:r>
          </w:p>
        </w:tc>
      </w:tr>
    </w:tbl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p w:rsidR="00E01A20" w:rsidRPr="00EB3ADF" w:rsidRDefault="00E01A20" w:rsidP="00E01A20">
      <w:pPr>
        <w:rPr>
          <w:sz w:val="28"/>
          <w:szCs w:val="28"/>
        </w:rPr>
      </w:pPr>
    </w:p>
    <w:tbl>
      <w:tblPr>
        <w:tblpPr w:leftFromText="180" w:rightFromText="180" w:vertAnchor="page" w:horzAnchor="margin" w:tblpY="9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701"/>
        <w:gridCol w:w="1322"/>
        <w:gridCol w:w="1662"/>
        <w:gridCol w:w="1988"/>
        <w:gridCol w:w="1988"/>
      </w:tblGrid>
      <w:tr w:rsidR="00E01A20" w:rsidRPr="00286B5F" w:rsidTr="00893412">
        <w:trPr>
          <w:trHeight w:val="530"/>
        </w:trPr>
        <w:tc>
          <w:tcPr>
            <w:tcW w:w="915" w:type="dxa"/>
          </w:tcPr>
          <w:p w:rsidR="00E01A20" w:rsidRPr="00413359" w:rsidRDefault="00E01A20" w:rsidP="0089341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13359">
              <w:rPr>
                <w:b/>
                <w:bCs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701" w:type="dxa"/>
          </w:tcPr>
          <w:p w:rsidR="00E01A20" w:rsidRPr="00413359" w:rsidRDefault="00E01A20" w:rsidP="00893412">
            <w:pPr>
              <w:rPr>
                <w:b/>
                <w:bCs/>
                <w:sz w:val="28"/>
                <w:szCs w:val="28"/>
              </w:rPr>
            </w:pPr>
            <w:r w:rsidRPr="00413359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322" w:type="dxa"/>
          </w:tcPr>
          <w:p w:rsidR="00E01A20" w:rsidRPr="00413359" w:rsidRDefault="00E01A20" w:rsidP="00893412">
            <w:pPr>
              <w:jc w:val="center"/>
              <w:rPr>
                <w:b/>
                <w:bCs/>
                <w:sz w:val="28"/>
                <w:szCs w:val="28"/>
              </w:rPr>
            </w:pPr>
            <w:r w:rsidRPr="00413359">
              <w:rPr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1662" w:type="dxa"/>
          </w:tcPr>
          <w:p w:rsidR="00E01A20" w:rsidRPr="00413359" w:rsidRDefault="00E01A20" w:rsidP="0089341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13359">
              <w:rPr>
                <w:b/>
                <w:bCs/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1988" w:type="dxa"/>
          </w:tcPr>
          <w:p w:rsidR="00E01A20" w:rsidRPr="00413359" w:rsidRDefault="00E01A20" w:rsidP="00893412">
            <w:pPr>
              <w:jc w:val="center"/>
              <w:rPr>
                <w:b/>
                <w:bCs/>
                <w:sz w:val="28"/>
                <w:szCs w:val="28"/>
              </w:rPr>
            </w:pPr>
            <w:r w:rsidRPr="00413359">
              <w:rPr>
                <w:b/>
                <w:bCs/>
                <w:sz w:val="28"/>
                <w:szCs w:val="28"/>
              </w:rPr>
              <w:t>Rate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Rs</w:t>
            </w:r>
            <w:proofErr w:type="spellEnd"/>
            <w:r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988" w:type="dxa"/>
          </w:tcPr>
          <w:p w:rsidR="00E01A20" w:rsidRPr="00413359" w:rsidRDefault="00E01A20" w:rsidP="00893412">
            <w:pPr>
              <w:jc w:val="center"/>
              <w:rPr>
                <w:b/>
                <w:bCs/>
                <w:sz w:val="28"/>
                <w:szCs w:val="28"/>
              </w:rPr>
            </w:pPr>
            <w:r w:rsidRPr="00413359">
              <w:rPr>
                <w:b/>
                <w:bCs/>
                <w:sz w:val="28"/>
                <w:szCs w:val="28"/>
              </w:rPr>
              <w:t>Amount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Rs</w:t>
            </w:r>
            <w:proofErr w:type="spellEnd"/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E01A20" w:rsidRPr="00286B5F" w:rsidTr="00893412">
        <w:trPr>
          <w:trHeight w:val="638"/>
        </w:trPr>
        <w:tc>
          <w:tcPr>
            <w:tcW w:w="915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Teak Wood</w:t>
            </w:r>
          </w:p>
        </w:tc>
        <w:tc>
          <w:tcPr>
            <w:tcW w:w="1322" w:type="dxa"/>
          </w:tcPr>
          <w:p w:rsidR="00E01A20" w:rsidRPr="00286B5F" w:rsidRDefault="00E01A20" w:rsidP="00893412">
            <w:pPr>
              <w:jc w:val="center"/>
              <w:rPr>
                <w:sz w:val="28"/>
                <w:szCs w:val="28"/>
              </w:rPr>
            </w:pPr>
            <w:proofErr w:type="spellStart"/>
            <w:r w:rsidRPr="00286B5F">
              <w:rPr>
                <w:sz w:val="28"/>
                <w:szCs w:val="28"/>
              </w:rPr>
              <w:t>Cu.m</w:t>
            </w:r>
            <w:proofErr w:type="spellEnd"/>
          </w:p>
        </w:tc>
        <w:tc>
          <w:tcPr>
            <w:tcW w:w="1662" w:type="dxa"/>
          </w:tcPr>
          <w:p w:rsidR="00E01A20" w:rsidRPr="00286B5F" w:rsidRDefault="00E01A20" w:rsidP="00893412">
            <w:pPr>
              <w:jc w:val="center"/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2.158</w:t>
            </w: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</w:tr>
      <w:tr w:rsidR="00E01A20" w:rsidRPr="00286B5F" w:rsidTr="00893412">
        <w:trPr>
          <w:trHeight w:val="530"/>
        </w:trPr>
        <w:tc>
          <w:tcPr>
            <w:tcW w:w="915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Fire wood</w:t>
            </w:r>
          </w:p>
        </w:tc>
        <w:tc>
          <w:tcPr>
            <w:tcW w:w="1322" w:type="dxa"/>
          </w:tcPr>
          <w:p w:rsidR="00E01A20" w:rsidRPr="00286B5F" w:rsidRDefault="00E01A20" w:rsidP="00893412">
            <w:pPr>
              <w:jc w:val="center"/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MT</w:t>
            </w:r>
          </w:p>
        </w:tc>
        <w:tc>
          <w:tcPr>
            <w:tcW w:w="1662" w:type="dxa"/>
          </w:tcPr>
          <w:p w:rsidR="00E01A20" w:rsidRPr="00286B5F" w:rsidRDefault="00E01A20" w:rsidP="00893412">
            <w:pPr>
              <w:jc w:val="center"/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0.7</w:t>
            </w: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</w:tr>
      <w:tr w:rsidR="00E01A20" w:rsidRPr="00286B5F" w:rsidTr="00893412">
        <w:trPr>
          <w:trHeight w:val="620"/>
        </w:trPr>
        <w:tc>
          <w:tcPr>
            <w:tcW w:w="915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Total  (1) + (2)</w:t>
            </w:r>
          </w:p>
        </w:tc>
        <w:tc>
          <w:tcPr>
            <w:tcW w:w="1322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</w:tr>
      <w:tr w:rsidR="00E01A20" w:rsidRPr="00286B5F" w:rsidTr="00893412">
        <w:tc>
          <w:tcPr>
            <w:tcW w:w="915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Add KVAT 14.5%  on (3)</w:t>
            </w:r>
          </w:p>
        </w:tc>
        <w:tc>
          <w:tcPr>
            <w:tcW w:w="1322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</w:tr>
      <w:tr w:rsidR="00E01A20" w:rsidRPr="00286B5F" w:rsidTr="00893412">
        <w:tc>
          <w:tcPr>
            <w:tcW w:w="915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Total (3) + (4)</w:t>
            </w:r>
          </w:p>
        </w:tc>
        <w:tc>
          <w:tcPr>
            <w:tcW w:w="1322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</w:tr>
      <w:tr w:rsidR="00E01A20" w:rsidRPr="00286B5F" w:rsidTr="00893412">
        <w:tc>
          <w:tcPr>
            <w:tcW w:w="915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Add FDT 5% on (5)</w:t>
            </w:r>
          </w:p>
        </w:tc>
        <w:tc>
          <w:tcPr>
            <w:tcW w:w="1322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</w:tr>
      <w:tr w:rsidR="00E01A20" w:rsidRPr="00286B5F" w:rsidTr="00893412">
        <w:trPr>
          <w:trHeight w:val="647"/>
        </w:trPr>
        <w:tc>
          <w:tcPr>
            <w:tcW w:w="915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01A20" w:rsidRPr="00413359" w:rsidRDefault="00E01A20" w:rsidP="00893412">
            <w:pPr>
              <w:rPr>
                <w:b/>
                <w:bCs/>
                <w:sz w:val="28"/>
                <w:szCs w:val="28"/>
              </w:rPr>
            </w:pPr>
            <w:r w:rsidRPr="00413359">
              <w:rPr>
                <w:b/>
                <w:bCs/>
                <w:sz w:val="28"/>
                <w:szCs w:val="28"/>
              </w:rPr>
              <w:t>Grand Total  (5) + (6)</w:t>
            </w:r>
          </w:p>
        </w:tc>
        <w:tc>
          <w:tcPr>
            <w:tcW w:w="1322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E01A20" w:rsidRPr="00286B5F" w:rsidRDefault="00E01A20" w:rsidP="00893412">
            <w:pPr>
              <w:rPr>
                <w:sz w:val="28"/>
                <w:szCs w:val="28"/>
              </w:rPr>
            </w:pPr>
          </w:p>
        </w:tc>
      </w:tr>
    </w:tbl>
    <w:p w:rsidR="00E01A20" w:rsidRPr="00EB3ADF" w:rsidRDefault="00E01A20" w:rsidP="00E01A20">
      <w:pPr>
        <w:rPr>
          <w:sz w:val="28"/>
          <w:szCs w:val="28"/>
        </w:rPr>
      </w:pPr>
      <w:bookmarkStart w:id="0" w:name="_GoBack"/>
      <w:bookmarkEnd w:id="0"/>
    </w:p>
    <w:p w:rsidR="004A7D05" w:rsidRDefault="004A7D05"/>
    <w:sectPr w:rsidR="004A7D05" w:rsidSect="00E71555">
      <w:headerReference w:type="default" r:id="rId5"/>
      <w:pgSz w:w="11907" w:h="16839" w:code="9"/>
      <w:pgMar w:top="1080" w:right="1080" w:bottom="1080" w:left="1080" w:header="720" w:footer="720" w:gutter="0"/>
      <w:pgNumType w:start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555" w:rsidRDefault="00E01A20" w:rsidP="00E71555">
    <w:pPr>
      <w:rPr>
        <w:rFonts w:ascii="Arial" w:hAnsi="Arial" w:cs="Arial"/>
      </w:rPr>
    </w:pPr>
  </w:p>
  <w:p w:rsidR="00E71555" w:rsidRDefault="00E01A20" w:rsidP="00E71555">
    <w:pPr>
      <w:rPr>
        <w:rFonts w:ascii="Arial" w:hAnsi="Arial" w:cs="Arial"/>
      </w:rPr>
    </w:pPr>
  </w:p>
  <w:p w:rsidR="00E71555" w:rsidRDefault="00E01A20" w:rsidP="00E71555">
    <w:pPr>
      <w:rPr>
        <w:rFonts w:ascii="Arial" w:hAnsi="Arial" w:cs="Arial"/>
      </w:rPr>
    </w:pPr>
  </w:p>
  <w:p w:rsidR="00E71555" w:rsidRPr="00D46964" w:rsidRDefault="00E01A20" w:rsidP="00E71555">
    <w:pPr>
      <w:rPr>
        <w:rFonts w:ascii="Arial" w:hAnsi="Arial" w:cs="Arial"/>
      </w:rPr>
    </w:pPr>
    <w:r w:rsidRPr="00D46964">
      <w:rPr>
        <w:rFonts w:ascii="Arial" w:hAnsi="Arial" w:cs="Arial"/>
      </w:rPr>
      <w:t xml:space="preserve">HLL/ID/IHP/CHO-Multistoried </w:t>
    </w:r>
    <w:proofErr w:type="spellStart"/>
    <w:r w:rsidRPr="00D46964">
      <w:rPr>
        <w:rFonts w:ascii="Arial" w:hAnsi="Arial" w:cs="Arial"/>
      </w:rPr>
      <w:t>Bldg</w:t>
    </w:r>
    <w:proofErr w:type="spellEnd"/>
    <w:r>
      <w:rPr>
        <w:rFonts w:ascii="Arial" w:hAnsi="Arial" w:cs="Arial"/>
      </w:rPr>
      <w:t>-</w:t>
    </w:r>
    <w:proofErr w:type="spellStart"/>
    <w:r>
      <w:rPr>
        <w:rFonts w:ascii="Arial" w:hAnsi="Arial" w:cs="Arial"/>
      </w:rPr>
      <w:t>Re</w:t>
    </w:r>
    <w:r>
      <w:rPr>
        <w:rFonts w:ascii="Arial" w:hAnsi="Arial" w:cs="Arial"/>
      </w:rPr>
      <w:t>auction</w:t>
    </w:r>
    <w:proofErr w:type="spellEnd"/>
    <w:r>
      <w:rPr>
        <w:rFonts w:ascii="Arial" w:hAnsi="Arial" w:cs="Arial"/>
      </w:rPr>
      <w:t>-Teak</w:t>
    </w:r>
    <w:r w:rsidRPr="00D46964">
      <w:rPr>
        <w:rFonts w:ascii="Arial" w:hAnsi="Arial" w:cs="Arial"/>
      </w:rPr>
      <w:t>/</w:t>
    </w:r>
    <w:r>
      <w:rPr>
        <w:rFonts w:ascii="Arial" w:hAnsi="Arial" w:cs="Arial"/>
      </w:rPr>
      <w:t>2015-16</w:t>
    </w:r>
    <w:r w:rsidRPr="00D46964">
      <w:rPr>
        <w:rFonts w:ascii="Arial" w:hAnsi="Arial" w:cs="Arial"/>
      </w:rPr>
      <w:t xml:space="preserve">                  </w:t>
    </w:r>
    <w:r>
      <w:rPr>
        <w:rFonts w:ascii="Arial" w:hAnsi="Arial" w:cs="Arial"/>
      </w:rPr>
      <w:t xml:space="preserve">              </w:t>
    </w:r>
    <w:r>
      <w:rPr>
        <w:rFonts w:ascii="Arial" w:hAnsi="Arial" w:cs="Arial"/>
      </w:rPr>
      <w:t>26</w:t>
    </w:r>
    <w:r>
      <w:rPr>
        <w:rFonts w:ascii="Arial" w:hAnsi="Arial" w:cs="Arial"/>
      </w:rPr>
      <w:t>.02.2016</w:t>
    </w:r>
  </w:p>
  <w:p w:rsidR="00E71555" w:rsidRDefault="00E01A20">
    <w:pPr>
      <w:pStyle w:val="Header"/>
    </w:pPr>
  </w:p>
  <w:p w:rsidR="00E71555" w:rsidRDefault="00E01A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0"/>
    <w:rsid w:val="0008187E"/>
    <w:rsid w:val="0009276D"/>
    <w:rsid w:val="000D1419"/>
    <w:rsid w:val="00142221"/>
    <w:rsid w:val="00162D16"/>
    <w:rsid w:val="001920CE"/>
    <w:rsid w:val="00193173"/>
    <w:rsid w:val="001F1FF3"/>
    <w:rsid w:val="00305429"/>
    <w:rsid w:val="003A4329"/>
    <w:rsid w:val="003D6916"/>
    <w:rsid w:val="004854B5"/>
    <w:rsid w:val="004A7D05"/>
    <w:rsid w:val="004B5337"/>
    <w:rsid w:val="004F4940"/>
    <w:rsid w:val="00527371"/>
    <w:rsid w:val="005A2C9A"/>
    <w:rsid w:val="005C117E"/>
    <w:rsid w:val="005D38CB"/>
    <w:rsid w:val="005F32B0"/>
    <w:rsid w:val="00603036"/>
    <w:rsid w:val="00661027"/>
    <w:rsid w:val="006625A4"/>
    <w:rsid w:val="00692D1A"/>
    <w:rsid w:val="006D6F7C"/>
    <w:rsid w:val="00752FD6"/>
    <w:rsid w:val="007864C8"/>
    <w:rsid w:val="007A3B2C"/>
    <w:rsid w:val="007E20DF"/>
    <w:rsid w:val="008056C4"/>
    <w:rsid w:val="00826D94"/>
    <w:rsid w:val="008C51FD"/>
    <w:rsid w:val="00915864"/>
    <w:rsid w:val="009F6B78"/>
    <w:rsid w:val="00A16F32"/>
    <w:rsid w:val="00A642DF"/>
    <w:rsid w:val="00B35B2A"/>
    <w:rsid w:val="00C100F6"/>
    <w:rsid w:val="00C5260F"/>
    <w:rsid w:val="00CB0DB5"/>
    <w:rsid w:val="00D74391"/>
    <w:rsid w:val="00D81B88"/>
    <w:rsid w:val="00DC1C45"/>
    <w:rsid w:val="00DF3540"/>
    <w:rsid w:val="00E01A20"/>
    <w:rsid w:val="00E255EA"/>
    <w:rsid w:val="00E27520"/>
    <w:rsid w:val="00E51BB0"/>
    <w:rsid w:val="00E54756"/>
    <w:rsid w:val="00E97F37"/>
    <w:rsid w:val="00F44A20"/>
    <w:rsid w:val="00F45C47"/>
    <w:rsid w:val="00F5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A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1A20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A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1A20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R</dc:creator>
  <cp:lastModifiedBy>Anil Kumar R </cp:lastModifiedBy>
  <cp:revision>1</cp:revision>
  <dcterms:created xsi:type="dcterms:W3CDTF">2016-02-26T10:40:00Z</dcterms:created>
  <dcterms:modified xsi:type="dcterms:W3CDTF">2016-02-26T10:41:00Z</dcterms:modified>
</cp:coreProperties>
</file>