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7916E9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7916E9" w:rsidRPr="00CC7237" w:rsidRDefault="007916E9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7916E9" w:rsidRPr="00E03328" w:rsidRDefault="007916E9" w:rsidP="00C64575">
            <w:pPr>
              <w:rPr>
                <w:b/>
                <w:bCs/>
              </w:rPr>
            </w:pPr>
            <w:r>
              <w:t>Autoclave</w:t>
            </w:r>
          </w:p>
        </w:tc>
        <w:tc>
          <w:tcPr>
            <w:tcW w:w="1380" w:type="dxa"/>
            <w:vAlign w:val="center"/>
          </w:tcPr>
          <w:p w:rsidR="007916E9" w:rsidRPr="00CC7237" w:rsidRDefault="007916E9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N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>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7916E9">
        <w:rPr>
          <w:color w:val="auto"/>
          <w:sz w:val="24"/>
          <w:szCs w:val="24"/>
        </w:rPr>
        <w:t>HLL/CMO/HCD/UP-MCH/BB/2015-16/23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D4517A" w:rsidRPr="001B22B3"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41D83"/>
    <w:rsid w:val="00063587"/>
    <w:rsid w:val="00096CCC"/>
    <w:rsid w:val="00110166"/>
    <w:rsid w:val="00121682"/>
    <w:rsid w:val="001B22B3"/>
    <w:rsid w:val="00293B37"/>
    <w:rsid w:val="002A225E"/>
    <w:rsid w:val="0033391B"/>
    <w:rsid w:val="003B124F"/>
    <w:rsid w:val="003C1482"/>
    <w:rsid w:val="00404761"/>
    <w:rsid w:val="00542230"/>
    <w:rsid w:val="00583BC3"/>
    <w:rsid w:val="005B035D"/>
    <w:rsid w:val="007916E9"/>
    <w:rsid w:val="007A03BB"/>
    <w:rsid w:val="007D3066"/>
    <w:rsid w:val="00831F8F"/>
    <w:rsid w:val="009559C5"/>
    <w:rsid w:val="00963D47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D4517A"/>
    <w:rsid w:val="00DE6625"/>
    <w:rsid w:val="00E0325E"/>
    <w:rsid w:val="00E131EC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8432-B37F-4BEF-87CE-711D9B96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3</cp:revision>
  <dcterms:created xsi:type="dcterms:W3CDTF">2016-03-14T15:21:00Z</dcterms:created>
  <dcterms:modified xsi:type="dcterms:W3CDTF">2016-03-14T15:22:00Z</dcterms:modified>
</cp:coreProperties>
</file>