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166C4A" w:rsidRDefault="00797571"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Default="000E7AFB" w:rsidP="009E6F83">
      <w:pPr>
        <w:pStyle w:val="Heading6"/>
        <w:rPr>
          <w:rFonts w:asciiTheme="majorHAnsi" w:hAnsiTheme="majorHAnsi"/>
          <w:i w:val="0"/>
          <w:sz w:val="24"/>
          <w:szCs w:val="24"/>
        </w:rPr>
      </w:pPr>
    </w:p>
    <w:p w:rsidR="00452C48" w:rsidRPr="00452C48" w:rsidRDefault="00452C48" w:rsidP="00452C48"/>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proofErr w:type="spellStart"/>
      <w:r w:rsidR="008A3D88">
        <w:rPr>
          <w:rFonts w:ascii="Mangal" w:hAnsi="Mangal" w:cs="Arial Unicode MS" w:hint="cs"/>
          <w:i w:val="0"/>
          <w:sz w:val="24"/>
          <w:szCs w:val="24"/>
          <w:u w:val="none"/>
          <w:cs/>
          <w:lang w:bidi="hi-IN"/>
        </w:rPr>
        <w:t>डाईमाक्स</w:t>
      </w:r>
      <w:proofErr w:type="spellEnd"/>
      <w:r w:rsidR="008A3D88">
        <w:rPr>
          <w:rFonts w:ascii="Mangal" w:hAnsi="Mangal" w:cs="Arial Unicode MS" w:hint="cs"/>
          <w:i w:val="0"/>
          <w:sz w:val="24"/>
          <w:szCs w:val="24"/>
          <w:u w:val="none"/>
          <w:cs/>
          <w:lang w:bidi="hi-IN"/>
        </w:rPr>
        <w:t xml:space="preserve"> ११६१-एम</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5940C0">
        <w:rPr>
          <w:rFonts w:asciiTheme="majorHAnsi" w:hAnsiTheme="majorHAnsi"/>
          <w:i w:val="0"/>
          <w:sz w:val="24"/>
          <w:szCs w:val="24"/>
          <w:u w:val="none"/>
        </w:rPr>
        <w:t>DYMAX 1161 - M</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proofErr w:type="spellStart"/>
      <w:r w:rsidR="0013617D" w:rsidRPr="00CA62CE">
        <w:rPr>
          <w:rFonts w:asciiTheme="majorHAnsi" w:hAnsiTheme="majorHAnsi" w:cs="Arial Unicode MS"/>
          <w:cs/>
          <w:lang w:bidi="hi-IN"/>
        </w:rPr>
        <w:t>निविदा</w:t>
      </w:r>
      <w:proofErr w:type="spellEnd"/>
      <w:r w:rsidRPr="00CA62CE">
        <w:rPr>
          <w:rFonts w:asciiTheme="majorHAnsi" w:hAnsiTheme="majorHAnsi" w:cs="Mangal"/>
          <w:lang w:bidi="hi-IN"/>
        </w:rPr>
        <w:t xml:space="preserve"> </w:t>
      </w:r>
      <w:proofErr w:type="spellStart"/>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एएफटी</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एमटीएलएस</w:t>
      </w:r>
      <w:proofErr w:type="spellEnd"/>
      <w:r w:rsidR="001977F4">
        <w:rPr>
          <w:rFonts w:ascii="Mangal" w:hAnsi="Mangal" w:cs="Mangal" w:hint="cs"/>
          <w:cs/>
          <w:lang w:bidi="hi-IN"/>
        </w:rPr>
        <w:t>/</w:t>
      </w:r>
      <w:r w:rsidR="008A3D88" w:rsidRPr="008A3D88">
        <w:rPr>
          <w:rFonts w:ascii="Mangal" w:hAnsi="Mangal" w:cs="Arial Unicode MS" w:hint="cs"/>
          <w:i/>
          <w:cs/>
          <w:lang w:bidi="hi-IN"/>
        </w:rPr>
        <w:t xml:space="preserve"> </w:t>
      </w:r>
      <w:proofErr w:type="spellStart"/>
      <w:r w:rsidR="008A3D88">
        <w:rPr>
          <w:rFonts w:ascii="Mangal" w:hAnsi="Mangal" w:cs="Arial Unicode MS" w:hint="cs"/>
          <w:i/>
          <w:cs/>
          <w:lang w:bidi="hi-IN"/>
        </w:rPr>
        <w:t>डाईमाक्स</w:t>
      </w:r>
      <w:proofErr w:type="spellEnd"/>
      <w:r w:rsidR="008A3D88">
        <w:rPr>
          <w:rFonts w:ascii="Mangal" w:hAnsi="Mangal" w:cs="Mangal" w:hint="cs"/>
          <w:cs/>
          <w:lang w:bidi="hi-IN"/>
        </w:rPr>
        <w:t xml:space="preserve"> </w:t>
      </w:r>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CA62CE" w:rsidRDefault="00D9573E" w:rsidP="009E6F83">
      <w:pPr>
        <w:rPr>
          <w:rFonts w:asciiTheme="majorHAnsi" w:hAnsiTheme="majorHAnsi" w:cs="Tahoma"/>
        </w:rPr>
      </w:pPr>
      <w:r w:rsidRPr="00CA62CE">
        <w:rPr>
          <w:rFonts w:asciiTheme="majorHAnsi" w:hAnsiTheme="majorHAnsi" w:cs="Nirmala UI"/>
          <w:b/>
          <w:bCs/>
          <w:lang w:bidi="hi-IN"/>
        </w:rPr>
        <w:t xml:space="preserve">                                                      </w:t>
      </w:r>
      <w:r w:rsidR="00311A3F" w:rsidRPr="00CA62CE">
        <w:rPr>
          <w:rFonts w:asciiTheme="majorHAnsi" w:hAnsiTheme="majorHAnsi" w:cs="Nirmala UI"/>
          <w:b/>
          <w:bCs/>
          <w:cs/>
          <w:lang w:bidi="hi-IN"/>
        </w:rPr>
        <w:t>e-</w:t>
      </w:r>
      <w:r w:rsidR="0013617D" w:rsidRPr="00CA62CE">
        <w:rPr>
          <w:rFonts w:asciiTheme="majorHAnsi" w:hAnsiTheme="majorHAnsi" w:cs="Tahoma"/>
          <w:b/>
          <w:bCs/>
        </w:rPr>
        <w:t xml:space="preserve">Tender No: </w:t>
      </w:r>
      <w:r w:rsidR="001977F4">
        <w:rPr>
          <w:rFonts w:asciiTheme="majorHAnsi" w:hAnsiTheme="majorHAnsi" w:cs="Tahoma"/>
          <w:b/>
          <w:bCs/>
        </w:rPr>
        <w:t>HLL/AFT/MTLS/</w:t>
      </w:r>
      <w:r w:rsidR="005940C0">
        <w:rPr>
          <w:rFonts w:asciiTheme="majorHAnsi" w:hAnsiTheme="majorHAnsi" w:cs="Tahoma"/>
          <w:b/>
          <w:bCs/>
        </w:rPr>
        <w:t>DYMAX</w:t>
      </w:r>
      <w:r w:rsidR="001977F4">
        <w:rPr>
          <w:rFonts w:asciiTheme="majorHAnsi" w:hAnsiTheme="majorHAnsi" w:cs="Tahoma"/>
          <w:b/>
          <w:bCs/>
        </w:rPr>
        <w:t>/2020-21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r w:rsidRPr="00CA62CE">
        <w:rPr>
          <w:rFonts w:asciiTheme="majorHAnsi" w:hAnsiTheme="majorHAnsi" w:cs="Arial Unicode MS"/>
          <w:cs/>
          <w:lang w:bidi="hi-IN"/>
        </w:rPr>
        <w:t>तकनीकीवाणिज्यबोली</w:t>
      </w:r>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Pr="00CA62CE" w:rsidRDefault="00102653"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proofErr w:type="spellStart"/>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proofErr w:type="spellStart"/>
      <w:r w:rsidR="006413E7">
        <w:rPr>
          <w:rFonts w:ascii="Mangal" w:hAnsi="Mangal" w:cs="Arial Unicode MS" w:hint="cs"/>
          <w:szCs w:val="24"/>
          <w:u w:val="none"/>
          <w:cs/>
          <w:lang w:bidi="hi-IN"/>
        </w:rPr>
        <w:t>अककुलम</w:t>
      </w:r>
      <w:proofErr w:type="spellEnd"/>
      <w:r w:rsidR="006413E7">
        <w:rPr>
          <w:rFonts w:ascii="Mangal" w:hAnsi="Mangal" w:cs="Arial Unicode MS" w:hint="cs"/>
          <w:szCs w:val="24"/>
          <w:u w:val="none"/>
          <w:cs/>
          <w:lang w:bidi="hi-IN"/>
        </w:rPr>
        <w:t xml:space="preserve">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r w:rsidR="00237F74">
        <w:rPr>
          <w:rFonts w:ascii="Magneto" w:hAnsi="Magneto" w:cs="Arial"/>
          <w:szCs w:val="24"/>
          <w:u w:val="none"/>
        </w:rPr>
        <w:t xml:space="preserve"> </w:t>
      </w:r>
      <w:proofErr w:type="spellStart"/>
      <w:r w:rsidRPr="00CA62CE">
        <w:rPr>
          <w:rFonts w:ascii="Nirmala UI" w:hAnsi="Nirmala UI" w:cs="Arial Unicode MS" w:hint="cs"/>
          <w:szCs w:val="24"/>
          <w:u w:val="none"/>
          <w:cs/>
          <w:lang w:bidi="hi-IN"/>
        </w:rPr>
        <w:t>तिरुवनंतपुरम</w:t>
      </w:r>
      <w:proofErr w:type="spellEnd"/>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proofErr w:type="spellStart"/>
      <w:r w:rsidR="008A3D88">
        <w:rPr>
          <w:rFonts w:ascii="Mangal" w:hAnsi="Mangal" w:cs="Arial Unicode MS" w:hint="cs"/>
          <w:i w:val="0"/>
          <w:szCs w:val="24"/>
          <w:u w:val="none"/>
          <w:cs/>
          <w:lang w:bidi="hi-IN"/>
        </w:rPr>
        <w:t>डाईमाक्स</w:t>
      </w:r>
      <w:proofErr w:type="spellEnd"/>
      <w:r w:rsidR="008A3D88">
        <w:rPr>
          <w:rFonts w:ascii="Mangal" w:hAnsi="Mangal" w:cs="Arial Unicode MS" w:hint="cs"/>
          <w:i w:val="0"/>
          <w:szCs w:val="24"/>
          <w:u w:val="none"/>
          <w:cs/>
          <w:lang w:bidi="hi-IN"/>
        </w:rPr>
        <w:t xml:space="preserve"> ११६१-एम</w:t>
      </w:r>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CA62CE">
        <w:rPr>
          <w:rFonts w:asciiTheme="majorHAnsi" w:hAnsiTheme="majorHAnsi" w:cs="Arial"/>
          <w:i w:val="0"/>
          <w:iCs/>
          <w:szCs w:val="24"/>
          <w:u w:val="none"/>
        </w:rPr>
        <w:t xml:space="preserve">Supply of </w:t>
      </w:r>
      <w:r w:rsidR="00AB7F33">
        <w:rPr>
          <w:rFonts w:asciiTheme="majorHAnsi" w:hAnsiTheme="majorHAnsi"/>
          <w:u w:val="none"/>
        </w:rPr>
        <w:t xml:space="preserve">DYMAX 1161 - </w:t>
      </w:r>
      <w:proofErr w:type="gramStart"/>
      <w:r w:rsidR="00AB7F33">
        <w:rPr>
          <w:rFonts w:asciiTheme="majorHAnsi" w:hAnsiTheme="majorHAnsi"/>
          <w:u w:val="none"/>
        </w:rPr>
        <w:t>M</w:t>
      </w:r>
      <w:r w:rsidR="00AB7F33" w:rsidRPr="00D41028">
        <w:rPr>
          <w:rFonts w:asciiTheme="majorHAnsi" w:hAnsiTheme="majorHAnsi"/>
          <w:sz w:val="22"/>
          <w:szCs w:val="22"/>
          <w:u w:val="none"/>
        </w:rPr>
        <w:t xml:space="preserve"> </w:t>
      </w:r>
      <w:r w:rsidR="00AB7F33" w:rsidRPr="00D41028">
        <w:rPr>
          <w:sz w:val="18"/>
          <w:szCs w:val="18"/>
        </w:rPr>
        <w:t xml:space="preserve"> </w:t>
      </w:r>
      <w:r w:rsidRPr="00CA62CE">
        <w:rPr>
          <w:rFonts w:asciiTheme="majorHAnsi" w:hAnsiTheme="majorHAnsi" w:cs="Arial"/>
          <w:b w:val="0"/>
          <w:bCs/>
          <w:i w:val="0"/>
          <w:iCs/>
          <w:szCs w:val="24"/>
          <w:u w:val="none"/>
        </w:rPr>
        <w:t>to</w:t>
      </w:r>
      <w:proofErr w:type="gramEnd"/>
      <w:r w:rsidRPr="00CA62CE">
        <w:rPr>
          <w:rFonts w:asciiTheme="majorHAnsi" w:hAnsiTheme="majorHAnsi" w:cs="Arial"/>
          <w:b w:val="0"/>
          <w:bCs/>
          <w:i w:val="0"/>
          <w:iCs/>
          <w:szCs w:val="24"/>
          <w:u w:val="none"/>
        </w:rPr>
        <w:t xml:space="preserve">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r w:rsidRPr="00CA62CE">
              <w:rPr>
                <w:rFonts w:asciiTheme="majorHAnsi" w:hAnsiTheme="majorHAnsi"/>
                <w:b/>
                <w:bCs/>
                <w:color w:val="000000"/>
              </w:rPr>
              <w:t>Sl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D41028" w:rsidRPr="00D41028" w:rsidRDefault="005940C0" w:rsidP="005940C0">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i/>
                <w:u w:val="none"/>
              </w:rPr>
              <w:t>DYMAX 1161 - M</w:t>
            </w:r>
            <w:r w:rsidRPr="00D41028">
              <w:rPr>
                <w:rFonts w:asciiTheme="majorHAnsi" w:hAnsiTheme="majorHAnsi"/>
                <w:sz w:val="22"/>
                <w:szCs w:val="22"/>
                <w:u w:val="none"/>
              </w:rPr>
              <w:t xml:space="preserve"> </w:t>
            </w:r>
            <w:r w:rsidR="00D41028" w:rsidRPr="00D41028">
              <w:rPr>
                <w:rFonts w:ascii="Times New Roman" w:hAnsi="Times New Roman"/>
                <w:sz w:val="18"/>
                <w:szCs w:val="18"/>
              </w:rPr>
              <w:t xml:space="preserve"> </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3417A3">
            <w:pPr>
              <w:ind w:left="90" w:right="90"/>
              <w:jc w:val="both"/>
              <w:rPr>
                <w:rFonts w:asciiTheme="majorHAnsi" w:hAnsiTheme="majorHAnsi"/>
                <w:color w:val="000000"/>
              </w:rPr>
            </w:pPr>
            <w:r w:rsidRPr="00CA62CE">
              <w:rPr>
                <w:rFonts w:asciiTheme="majorHAnsi" w:hAnsiTheme="majorHAnsi"/>
                <w:color w:val="000000"/>
              </w:rPr>
              <w:t>Rs.</w:t>
            </w:r>
            <w:r w:rsidR="005940C0">
              <w:rPr>
                <w:rFonts w:asciiTheme="majorHAnsi" w:hAnsiTheme="majorHAnsi"/>
                <w:color w:val="000000"/>
              </w:rPr>
              <w:t>50,</w:t>
            </w:r>
            <w:r w:rsidR="0023618F" w:rsidRPr="00CA62CE">
              <w:rPr>
                <w:rFonts w:asciiTheme="majorHAnsi" w:hAnsiTheme="majorHAnsi"/>
                <w:color w:val="000000"/>
              </w:rPr>
              <w:t>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2025D8" w:rsidRDefault="0000776F" w:rsidP="005C39FF">
            <w:pPr>
              <w:ind w:left="90" w:right="90"/>
              <w:jc w:val="both"/>
              <w:rPr>
                <w:rFonts w:asciiTheme="majorHAnsi" w:hAnsiTheme="majorHAnsi"/>
                <w:b/>
                <w:bCs/>
              </w:rPr>
            </w:pPr>
            <w:r w:rsidRPr="002025D8">
              <w:rPr>
                <w:rFonts w:asciiTheme="majorHAnsi" w:hAnsiTheme="majorHAnsi"/>
                <w:b/>
                <w:bCs/>
              </w:rPr>
              <w:t>23</w:t>
            </w:r>
            <w:r w:rsidR="005D5806" w:rsidRPr="002025D8">
              <w:rPr>
                <w:rFonts w:asciiTheme="majorHAnsi" w:hAnsiTheme="majorHAnsi"/>
                <w:b/>
                <w:bCs/>
              </w:rPr>
              <w:t xml:space="preserve">-03-2020 </w:t>
            </w:r>
            <w:r w:rsidR="0021404C" w:rsidRPr="002025D8">
              <w:rPr>
                <w:rFonts w:asciiTheme="majorHAnsi" w:hAnsiTheme="majorHAnsi"/>
                <w:b/>
                <w:bCs/>
              </w:rPr>
              <w:t xml:space="preserve">at </w:t>
            </w:r>
            <w:r w:rsidR="005C39FF" w:rsidRPr="002025D8">
              <w:rPr>
                <w:rFonts w:asciiTheme="majorHAnsi" w:hAnsiTheme="majorHAnsi"/>
                <w:b/>
                <w:bCs/>
              </w:rPr>
              <w:t>13.00</w:t>
            </w:r>
            <w:r w:rsidR="0021404C" w:rsidRPr="002025D8">
              <w:rPr>
                <w:rFonts w:asciiTheme="majorHAnsi" w:hAnsiTheme="majorHAnsi"/>
                <w:b/>
                <w:bCs/>
              </w:rPr>
              <w:t xml:space="preserve"> hrs</w:t>
            </w:r>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2025D8" w:rsidRDefault="0000776F" w:rsidP="005B2E49">
            <w:pPr>
              <w:ind w:left="90" w:right="90"/>
              <w:jc w:val="both"/>
              <w:rPr>
                <w:rFonts w:asciiTheme="majorHAnsi" w:hAnsiTheme="majorHAnsi"/>
                <w:b/>
                <w:bCs/>
              </w:rPr>
            </w:pPr>
            <w:r w:rsidRPr="002025D8">
              <w:rPr>
                <w:rFonts w:asciiTheme="majorHAnsi" w:hAnsiTheme="majorHAnsi"/>
                <w:b/>
                <w:bCs/>
              </w:rPr>
              <w:t>25</w:t>
            </w:r>
            <w:r w:rsidR="005D5806" w:rsidRPr="002025D8">
              <w:rPr>
                <w:rFonts w:asciiTheme="majorHAnsi" w:hAnsiTheme="majorHAnsi"/>
                <w:b/>
                <w:bCs/>
              </w:rPr>
              <w:t xml:space="preserve">-03-2020 </w:t>
            </w:r>
            <w:r w:rsidR="0021404C" w:rsidRPr="002025D8">
              <w:rPr>
                <w:rFonts w:asciiTheme="majorHAnsi" w:hAnsiTheme="majorHAnsi"/>
                <w:b/>
                <w:bCs/>
              </w:rPr>
              <w:t>at 1</w:t>
            </w:r>
            <w:r w:rsidR="002025D8">
              <w:rPr>
                <w:rFonts w:asciiTheme="majorHAnsi" w:hAnsiTheme="majorHAnsi"/>
                <w:b/>
                <w:bCs/>
              </w:rPr>
              <w:t>0</w:t>
            </w:r>
            <w:r w:rsidR="0021404C" w:rsidRPr="002025D8">
              <w:rPr>
                <w:rFonts w:asciiTheme="majorHAnsi" w:hAnsiTheme="majorHAnsi"/>
                <w:b/>
                <w:bCs/>
              </w:rPr>
              <w:t>:</w:t>
            </w:r>
            <w:r w:rsidR="005B2E49" w:rsidRPr="002025D8">
              <w:rPr>
                <w:rFonts w:asciiTheme="majorHAnsi" w:hAnsiTheme="majorHAnsi"/>
                <w:b/>
                <w:bCs/>
              </w:rPr>
              <w:t>0</w:t>
            </w:r>
            <w:r w:rsidR="0021404C" w:rsidRPr="002025D8">
              <w:rPr>
                <w:rFonts w:asciiTheme="majorHAnsi" w:hAnsiTheme="majorHAnsi"/>
                <w:b/>
                <w:bCs/>
              </w:rPr>
              <w:t>0 hrs</w:t>
            </w:r>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0" w:name="_Hlt534704655"/>
        <w:bookmarkStart w:id="1" w:name="_Hlt534704656"/>
        <w:bookmarkEnd w:id="0"/>
        <w:bookmarkEnd w:id="1"/>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Bid documents including the Bill of Quantities (BoQ)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themselves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w:t>
      </w:r>
      <w:r w:rsidRPr="006C3AD0">
        <w:rPr>
          <w:rFonts w:asciiTheme="majorHAnsi" w:hAnsiTheme="majorHAnsi"/>
        </w:rPr>
        <w:t>Digital Signature Certificate (DSC)</w:t>
      </w:r>
      <w:r w:rsidRPr="00CA62CE">
        <w:rPr>
          <w:rFonts w:asciiTheme="majorHAnsi" w:hAnsiTheme="majorHAnsi"/>
        </w:rPr>
        <w:t xml:space="preserve">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Authority recognized by CCA India (e.g. Sify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i)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lastRenderedPageBreak/>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lastRenderedPageBreak/>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lastRenderedPageBreak/>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2" w:name="page7"/>
      <w:bookmarkEnd w:id="2"/>
      <w:r w:rsidRPr="00CA62CE">
        <w:rPr>
          <w:rFonts w:asciiTheme="majorHAnsi" w:eastAsia="Arial" w:hAnsiTheme="majorHAnsi"/>
        </w:rPr>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lastRenderedPageBreak/>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 xml:space="preserve">HLL Lifecare Limited does not bind </w:t>
      </w:r>
      <w:r w:rsidR="002748C9" w:rsidRPr="00CA62CE">
        <w:rPr>
          <w:rFonts w:asciiTheme="majorHAnsi" w:hAnsiTheme="majorHAnsi"/>
          <w:color w:val="000000"/>
        </w:rPr>
        <w:t>them</w:t>
      </w:r>
      <w:r w:rsidR="002748C9">
        <w:rPr>
          <w:rFonts w:asciiTheme="majorHAnsi" w:hAnsiTheme="majorHAnsi"/>
          <w:color w:val="000000"/>
        </w:rPr>
        <w:t>s</w:t>
      </w:r>
      <w:r w:rsidR="002748C9" w:rsidRPr="00CA62CE">
        <w:rPr>
          <w:rFonts w:asciiTheme="majorHAnsi" w:hAnsiTheme="majorHAnsi"/>
          <w:color w:val="000000"/>
        </w:rPr>
        <w:t>elves</w:t>
      </w:r>
      <w:r w:rsidRPr="00CA62CE">
        <w:rPr>
          <w:rFonts w:asciiTheme="majorHAnsi" w:hAnsiTheme="majorHAnsi"/>
          <w:color w:val="000000"/>
        </w:rPr>
        <w:t xml:space="preserve">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ncluding but not limited to forfeiture of EMD, Security Deposit ,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Conditional bids and bids not uploaded with appropriate/desired documents may be rejected out rightly and decision of HLL Lifecare Limited. in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bookmarkStart w:id="3" w:name="_GoBack"/>
      <w:bookmarkEnd w:id="3"/>
      <w:permStart w:id="1342127776" w:edGrp="everyone"/>
      <w:permEnd w:id="1342127776"/>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68D" w:rsidRDefault="006B568D">
      <w:r>
        <w:separator/>
      </w:r>
    </w:p>
  </w:endnote>
  <w:endnote w:type="continuationSeparator" w:id="0">
    <w:p w:rsidR="006B568D" w:rsidRDefault="006B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C9" w:rsidRDefault="002748C9">
    <w:pPr>
      <w:pStyle w:val="Footer"/>
      <w:jc w:val="center"/>
    </w:pPr>
    <w:r>
      <w:t xml:space="preserve">Page </w:t>
    </w:r>
    <w:r>
      <w:rPr>
        <w:b/>
        <w:bCs/>
      </w:rPr>
      <w:fldChar w:fldCharType="begin"/>
    </w:r>
    <w:r>
      <w:rPr>
        <w:b/>
        <w:bCs/>
      </w:rPr>
      <w:instrText xml:space="preserve"> PAGE </w:instrText>
    </w:r>
    <w:r>
      <w:rPr>
        <w:b/>
        <w:bCs/>
      </w:rPr>
      <w:fldChar w:fldCharType="separate"/>
    </w:r>
    <w:r w:rsidR="00153AE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153AE9">
      <w:rPr>
        <w:b/>
        <w:bCs/>
        <w:noProof/>
      </w:rPr>
      <w:t>8</w:t>
    </w:r>
    <w:r>
      <w:rPr>
        <w:b/>
        <w:bCs/>
      </w:rPr>
      <w:fldChar w:fldCharType="end"/>
    </w:r>
  </w:p>
  <w:p w:rsidR="002748C9" w:rsidRDefault="00274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68D" w:rsidRDefault="006B568D">
      <w:r>
        <w:separator/>
      </w:r>
    </w:p>
  </w:footnote>
  <w:footnote w:type="continuationSeparator" w:id="0">
    <w:p w:rsidR="006B568D" w:rsidRDefault="006B5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C9" w:rsidRPr="001977F4" w:rsidRDefault="002748C9" w:rsidP="00EB0905">
    <w:pPr>
      <w:jc w:val="center"/>
      <w:rPr>
        <w:rFonts w:ascii="Cambria" w:hAnsi="Cambria" w:cs="Arial"/>
      </w:rPr>
    </w:pPr>
    <w:r w:rsidRPr="001977F4">
      <w:rPr>
        <w:rFonts w:ascii="Nirmala UI" w:hAnsi="Nirmala UI" w:cs="Arial Unicode MS" w:hint="cs"/>
        <w:sz w:val="22"/>
        <w:szCs w:val="22"/>
        <w:cs/>
        <w:lang w:bidi="hi-IN"/>
      </w:rPr>
      <w:t>एच</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लाइफकेयर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लिमिटेड</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2748C9" w:rsidRPr="001977F4" w:rsidRDefault="002748C9"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2748C9" w:rsidRPr="001977F4" w:rsidRDefault="002748C9" w:rsidP="00EB0905">
    <w:pPr>
      <w:jc w:val="center"/>
      <w:rPr>
        <w:rFonts w:ascii="Cambria" w:hAnsi="Cambria" w:cstheme="minorBidi"/>
        <w:szCs w:val="21"/>
        <w:lang w:bidi="hi-IN"/>
      </w:rPr>
    </w:pPr>
    <w:r w:rsidRPr="001977F4">
      <w:rPr>
        <w:rFonts w:ascii="Mangal" w:hAnsi="Mangal" w:cs="Arial Unicode MS" w:hint="cs"/>
        <w:szCs w:val="21"/>
        <w:cs/>
        <w:lang w:bidi="hi-IN"/>
      </w:rPr>
      <w:t xml:space="preserve">आककुलम फ़ैक्टरि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2748C9" w:rsidRPr="001977F4" w:rsidRDefault="002748C9" w:rsidP="00EB0905">
    <w:pPr>
      <w:jc w:val="center"/>
      <w:rPr>
        <w:rFonts w:ascii="DV-TTSurekh" w:hAnsi="DV-TTSurekh"/>
      </w:rPr>
    </w:pPr>
    <w:r w:rsidRPr="001977F4">
      <w:rPr>
        <w:rFonts w:ascii="Mangal" w:hAnsi="Mangal" w:cs="Arial Unicode MS" w:hint="cs"/>
        <w:sz w:val="22"/>
        <w:szCs w:val="22"/>
        <w:cs/>
        <w:lang w:bidi="hi-IN"/>
      </w:rPr>
      <w:t>श्रीकारियम</w:t>
    </w:r>
    <w:r w:rsidRPr="001977F4">
      <w:rPr>
        <w:rFonts w:ascii="Nirmala UI" w:hAnsi="Nirmala UI" w:cs="Mangal"/>
        <w:sz w:val="22"/>
        <w:szCs w:val="22"/>
        <w:lang w:bidi="hi-IN"/>
      </w:rPr>
      <w:t>.</w:t>
    </w:r>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 xml:space="preserve">ओ।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2748C9" w:rsidRPr="001977F4" w:rsidRDefault="002748C9" w:rsidP="00EB0905">
    <w:pPr>
      <w:ind w:left="1122" w:hanging="374"/>
      <w:jc w:val="center"/>
      <w:rPr>
        <w:rFonts w:ascii="Cambria" w:hAnsi="Cambria" w:cs="Arial"/>
        <w:iCs/>
        <w:u w:val="single"/>
      </w:rPr>
    </w:pPr>
    <w:r w:rsidRPr="001977F4">
      <w:rPr>
        <w:rFonts w:ascii="Nirmala UI" w:hAnsi="Nirmala UI" w:cs="Arial Unicode MS" w:hint="cs"/>
        <w:i/>
        <w:sz w:val="22"/>
        <w:szCs w:val="22"/>
        <w:cs/>
        <w:lang w:val="pt-BR" w:bidi="hi-IN"/>
      </w:rPr>
      <w:t>तिरुवनंतपुरम</w:t>
    </w:r>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2748C9" w:rsidRPr="001977F4" w:rsidRDefault="002748C9" w:rsidP="00EB0905">
    <w:pPr>
      <w:ind w:left="1122" w:hanging="374"/>
      <w:contextualSpacing/>
      <w:jc w:val="center"/>
      <w:rPr>
        <w:rFonts w:ascii="Cambria" w:hAnsi="Cambria" w:cs="Arial"/>
      </w:rPr>
    </w:pPr>
    <w:r w:rsidRPr="001977F4">
      <w:rPr>
        <w:rFonts w:ascii="Cambria" w:hAnsi="Cambria" w:cs="Arial"/>
      </w:rPr>
      <w:t xml:space="preserve">PHONE NO:0471 – 2442641, 2445930,2445935; EMAIL: </w:t>
    </w:r>
    <w:hyperlink r:id="rId1" w:history="1">
      <w:r w:rsidRPr="001977F4">
        <w:rPr>
          <w:rStyle w:val="Hyperlink"/>
          <w:rFonts w:ascii="Cambria" w:hAnsi="Cambria" w:cs="Arial"/>
        </w:rPr>
        <w:t>materialsaft@lifecarehll.com</w:t>
      </w:r>
    </w:hyperlink>
  </w:p>
  <w:p w:rsidR="002748C9" w:rsidRPr="001977F4" w:rsidRDefault="002748C9" w:rsidP="00EB0905">
    <w:pPr>
      <w:pStyle w:val="Header"/>
      <w:contextualSpacing/>
      <w:jc w:val="both"/>
      <w:rPr>
        <w:rFonts w:cs="Tahoma"/>
        <w:sz w:val="24"/>
      </w:rPr>
    </w:pPr>
  </w:p>
  <w:p w:rsidR="002748C9" w:rsidRPr="001977F4" w:rsidRDefault="002748C9" w:rsidP="00EB0905">
    <w:pPr>
      <w:pStyle w:val="Header"/>
      <w:contextualSpacing/>
      <w:rPr>
        <w:szCs w:val="22"/>
      </w:rPr>
    </w:pPr>
    <w:r w:rsidRPr="00240FC8">
      <w:rPr>
        <w:rFonts w:ascii="Times New Roman" w:hAnsi="Times New Roman"/>
        <w:sz w:val="20"/>
        <w:szCs w:val="20"/>
      </w:rPr>
      <w:t>Tender No. HLL/AFT/MTLS/</w:t>
    </w:r>
    <w:r w:rsidR="005940C0">
      <w:rPr>
        <w:rFonts w:ascii="Times New Roman" w:hAnsi="Times New Roman"/>
        <w:sz w:val="20"/>
        <w:szCs w:val="20"/>
      </w:rPr>
      <w:t>DYMAX/</w:t>
    </w:r>
    <w:r w:rsidRPr="00240FC8">
      <w:rPr>
        <w:rFonts w:ascii="Times New Roman" w:hAnsi="Times New Roman"/>
        <w:sz w:val="20"/>
        <w:szCs w:val="20"/>
      </w:rPr>
      <w:t xml:space="preserve">2020-21                                                              </w:t>
    </w:r>
    <w:r w:rsidRPr="00240FC8">
      <w:rPr>
        <w:rFonts w:ascii="Times New Roman" w:hAnsi="Times New Roman"/>
        <w:sz w:val="20"/>
        <w:szCs w:val="20"/>
      </w:rPr>
      <w:tab/>
    </w:r>
    <w:r w:rsidRPr="00240FC8">
      <w:rPr>
        <w:rFonts w:ascii="Times New Roman" w:hAnsi="Times New Roman"/>
        <w:sz w:val="20"/>
        <w:szCs w:val="20"/>
      </w:rPr>
      <w:tab/>
      <w:t xml:space="preserve">         0</w:t>
    </w:r>
    <w:r>
      <w:rPr>
        <w:rFonts w:ascii="Times New Roman" w:hAnsi="Times New Roman"/>
        <w:sz w:val="20"/>
        <w:szCs w:val="20"/>
      </w:rPr>
      <w:t>5</w:t>
    </w:r>
    <w:r w:rsidRPr="00240FC8">
      <w:rPr>
        <w:rFonts w:ascii="Times New Roman" w:hAnsi="Times New Roman"/>
        <w:sz w:val="20"/>
        <w:szCs w:val="20"/>
      </w:rPr>
      <w:t>.03.2020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070A4965"/>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8">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4">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6">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3931BC98"/>
    <w:multiLevelType w:val="singleLevel"/>
    <w:tmpl w:val="3931BC98"/>
    <w:lvl w:ilvl="0">
      <w:start w:val="1"/>
      <w:numFmt w:val="lowerLetter"/>
      <w:suff w:val="space"/>
      <w:lvlText w:val="%1)"/>
      <w:lvlJc w:val="left"/>
    </w:lvl>
  </w:abstractNum>
  <w:abstractNum w:abstractNumId="38">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40">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4">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6">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0">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2">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4">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9"/>
  </w:num>
  <w:num w:numId="3">
    <w:abstractNumId w:val="33"/>
  </w:num>
  <w:num w:numId="4">
    <w:abstractNumId w:val="56"/>
  </w:num>
  <w:num w:numId="5">
    <w:abstractNumId w:val="48"/>
  </w:num>
  <w:num w:numId="6">
    <w:abstractNumId w:val="35"/>
  </w:num>
  <w:num w:numId="7">
    <w:abstractNumId w:val="58"/>
  </w:num>
  <w:num w:numId="8">
    <w:abstractNumId w:val="42"/>
  </w:num>
  <w:num w:numId="9">
    <w:abstractNumId w:val="49"/>
  </w:num>
  <w:num w:numId="10">
    <w:abstractNumId w:val="44"/>
  </w:num>
  <w:num w:numId="11">
    <w:abstractNumId w:val="50"/>
  </w:num>
  <w:num w:numId="12">
    <w:abstractNumId w:val="43"/>
  </w:num>
  <w:num w:numId="13">
    <w:abstractNumId w:val="57"/>
  </w:num>
  <w:num w:numId="14">
    <w:abstractNumId w:val="47"/>
  </w:num>
  <w:num w:numId="15">
    <w:abstractNumId w:val="30"/>
  </w:num>
  <w:num w:numId="16">
    <w:abstractNumId w:val="26"/>
  </w:num>
  <w:num w:numId="17">
    <w:abstractNumId w:val="23"/>
  </w:num>
  <w:num w:numId="18">
    <w:abstractNumId w:val="34"/>
  </w:num>
  <w:num w:numId="19">
    <w:abstractNumId w:val="31"/>
  </w:num>
  <w:num w:numId="20">
    <w:abstractNumId w:val="24"/>
  </w:num>
  <w:num w:numId="21">
    <w:abstractNumId w:val="45"/>
  </w:num>
  <w:num w:numId="22">
    <w:abstractNumId w:val="54"/>
  </w:num>
  <w:num w:numId="23">
    <w:abstractNumId w:val="28"/>
  </w:num>
  <w:num w:numId="24">
    <w:abstractNumId w:val="37"/>
  </w:num>
  <w:num w:numId="25">
    <w:abstractNumId w:val="46"/>
  </w:num>
  <w:num w:numId="26">
    <w:abstractNumId w:val="52"/>
  </w:num>
  <w:num w:numId="27">
    <w:abstractNumId w:val="38"/>
  </w:num>
  <w:num w:numId="28">
    <w:abstractNumId w:val="51"/>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2"/>
  </w:num>
  <w:num w:numId="53">
    <w:abstractNumId w:val="55"/>
  </w:num>
  <w:num w:numId="54">
    <w:abstractNumId w:val="40"/>
  </w:num>
  <w:num w:numId="55">
    <w:abstractNumId w:val="53"/>
  </w:num>
  <w:num w:numId="56">
    <w:abstractNumId w:val="41"/>
  </w:num>
  <w:num w:numId="57">
    <w:abstractNumId w:val="29"/>
  </w:num>
  <w:num w:numId="58">
    <w:abstractNumId w:val="36"/>
  </w:num>
  <w:num w:numId="59">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1" w:cryptProviderType="rsaFull" w:cryptAlgorithmClass="hash" w:cryptAlgorithmType="typeAny" w:cryptAlgorithmSid="4" w:cryptSpinCount="100000" w:hash="VOdYopThthr9QFSf4CmU817A3WY=" w:salt="3kfBJSRBlkP7qWIvN0NIzw=="/>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10AF"/>
    <w:rsid w:val="00031D38"/>
    <w:rsid w:val="0003350C"/>
    <w:rsid w:val="000434BB"/>
    <w:rsid w:val="000563E1"/>
    <w:rsid w:val="00056FCD"/>
    <w:rsid w:val="00061A6D"/>
    <w:rsid w:val="0007438A"/>
    <w:rsid w:val="000760F6"/>
    <w:rsid w:val="00082344"/>
    <w:rsid w:val="000862C2"/>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8D7"/>
    <w:rsid w:val="000E23FB"/>
    <w:rsid w:val="000E4B39"/>
    <w:rsid w:val="000E5170"/>
    <w:rsid w:val="000E66DA"/>
    <w:rsid w:val="000E7AFB"/>
    <w:rsid w:val="000F2338"/>
    <w:rsid w:val="000F70D3"/>
    <w:rsid w:val="001003CC"/>
    <w:rsid w:val="001016C9"/>
    <w:rsid w:val="00102653"/>
    <w:rsid w:val="00105247"/>
    <w:rsid w:val="00105A93"/>
    <w:rsid w:val="00105CB0"/>
    <w:rsid w:val="001069D7"/>
    <w:rsid w:val="00107113"/>
    <w:rsid w:val="001072D0"/>
    <w:rsid w:val="00107B55"/>
    <w:rsid w:val="001131BF"/>
    <w:rsid w:val="0013126C"/>
    <w:rsid w:val="0013400A"/>
    <w:rsid w:val="00134BAA"/>
    <w:rsid w:val="0013617D"/>
    <w:rsid w:val="00136995"/>
    <w:rsid w:val="00144DCF"/>
    <w:rsid w:val="00145C44"/>
    <w:rsid w:val="00147402"/>
    <w:rsid w:val="00153A1F"/>
    <w:rsid w:val="00153AE9"/>
    <w:rsid w:val="001575C0"/>
    <w:rsid w:val="00166C4A"/>
    <w:rsid w:val="00166C62"/>
    <w:rsid w:val="001753E1"/>
    <w:rsid w:val="00182FB0"/>
    <w:rsid w:val="00187D1B"/>
    <w:rsid w:val="0019509C"/>
    <w:rsid w:val="00197346"/>
    <w:rsid w:val="001977F4"/>
    <w:rsid w:val="001A2090"/>
    <w:rsid w:val="001A557B"/>
    <w:rsid w:val="001A57B7"/>
    <w:rsid w:val="001A5D79"/>
    <w:rsid w:val="001A612D"/>
    <w:rsid w:val="001B1FDF"/>
    <w:rsid w:val="001B656C"/>
    <w:rsid w:val="001C16E3"/>
    <w:rsid w:val="001C2355"/>
    <w:rsid w:val="001C3E18"/>
    <w:rsid w:val="001C5ABB"/>
    <w:rsid w:val="001D30D7"/>
    <w:rsid w:val="001D472C"/>
    <w:rsid w:val="001E29D1"/>
    <w:rsid w:val="001E36B5"/>
    <w:rsid w:val="001E4810"/>
    <w:rsid w:val="001E5C89"/>
    <w:rsid w:val="001F0A67"/>
    <w:rsid w:val="001F0DC4"/>
    <w:rsid w:val="001F57FA"/>
    <w:rsid w:val="002025D8"/>
    <w:rsid w:val="0020488B"/>
    <w:rsid w:val="00206EDB"/>
    <w:rsid w:val="00212F20"/>
    <w:rsid w:val="0021404C"/>
    <w:rsid w:val="002144A5"/>
    <w:rsid w:val="00224783"/>
    <w:rsid w:val="00225B66"/>
    <w:rsid w:val="00226355"/>
    <w:rsid w:val="00232732"/>
    <w:rsid w:val="002359BE"/>
    <w:rsid w:val="0023618F"/>
    <w:rsid w:val="00237F74"/>
    <w:rsid w:val="00240FC8"/>
    <w:rsid w:val="00242144"/>
    <w:rsid w:val="00242B33"/>
    <w:rsid w:val="00247E5F"/>
    <w:rsid w:val="00251BC5"/>
    <w:rsid w:val="00251CDC"/>
    <w:rsid w:val="00253CAD"/>
    <w:rsid w:val="0025512F"/>
    <w:rsid w:val="00257FED"/>
    <w:rsid w:val="002620E2"/>
    <w:rsid w:val="002651A9"/>
    <w:rsid w:val="00265466"/>
    <w:rsid w:val="002667D1"/>
    <w:rsid w:val="00266B18"/>
    <w:rsid w:val="00266B20"/>
    <w:rsid w:val="00270162"/>
    <w:rsid w:val="002748C9"/>
    <w:rsid w:val="00275C59"/>
    <w:rsid w:val="00281D25"/>
    <w:rsid w:val="00282302"/>
    <w:rsid w:val="002834C9"/>
    <w:rsid w:val="00283831"/>
    <w:rsid w:val="002844DD"/>
    <w:rsid w:val="002873A6"/>
    <w:rsid w:val="0029385F"/>
    <w:rsid w:val="00293C08"/>
    <w:rsid w:val="00296A6C"/>
    <w:rsid w:val="002A2B58"/>
    <w:rsid w:val="002A3400"/>
    <w:rsid w:val="002A422D"/>
    <w:rsid w:val="002A61CD"/>
    <w:rsid w:val="002A7F63"/>
    <w:rsid w:val="002B21D0"/>
    <w:rsid w:val="002B31D9"/>
    <w:rsid w:val="002B3950"/>
    <w:rsid w:val="002B5659"/>
    <w:rsid w:val="002B659D"/>
    <w:rsid w:val="002C17DD"/>
    <w:rsid w:val="002C291B"/>
    <w:rsid w:val="002C5546"/>
    <w:rsid w:val="002D11EF"/>
    <w:rsid w:val="002D2BA6"/>
    <w:rsid w:val="002D3B3F"/>
    <w:rsid w:val="002E1277"/>
    <w:rsid w:val="002E1715"/>
    <w:rsid w:val="002E666F"/>
    <w:rsid w:val="002F00E8"/>
    <w:rsid w:val="002F6018"/>
    <w:rsid w:val="003045C7"/>
    <w:rsid w:val="0030567E"/>
    <w:rsid w:val="00305BE6"/>
    <w:rsid w:val="0030662F"/>
    <w:rsid w:val="00311546"/>
    <w:rsid w:val="00311A3F"/>
    <w:rsid w:val="00312145"/>
    <w:rsid w:val="003175EE"/>
    <w:rsid w:val="00321835"/>
    <w:rsid w:val="00323159"/>
    <w:rsid w:val="0032329C"/>
    <w:rsid w:val="003235A2"/>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4F1D"/>
    <w:rsid w:val="0038348E"/>
    <w:rsid w:val="003841BE"/>
    <w:rsid w:val="00386AEE"/>
    <w:rsid w:val="00391A82"/>
    <w:rsid w:val="00393054"/>
    <w:rsid w:val="00394159"/>
    <w:rsid w:val="003A5010"/>
    <w:rsid w:val="003A7DE4"/>
    <w:rsid w:val="003B65BB"/>
    <w:rsid w:val="003C5298"/>
    <w:rsid w:val="003C53D4"/>
    <w:rsid w:val="003C5566"/>
    <w:rsid w:val="003C5C1B"/>
    <w:rsid w:val="003D0987"/>
    <w:rsid w:val="003D5C4E"/>
    <w:rsid w:val="003D6FA6"/>
    <w:rsid w:val="003E0FEA"/>
    <w:rsid w:val="003E2F0D"/>
    <w:rsid w:val="003E7483"/>
    <w:rsid w:val="003E7B08"/>
    <w:rsid w:val="003F1200"/>
    <w:rsid w:val="003F14D0"/>
    <w:rsid w:val="003F2885"/>
    <w:rsid w:val="003F364A"/>
    <w:rsid w:val="003F497B"/>
    <w:rsid w:val="003F7043"/>
    <w:rsid w:val="00401F57"/>
    <w:rsid w:val="00406130"/>
    <w:rsid w:val="004103B2"/>
    <w:rsid w:val="004117A7"/>
    <w:rsid w:val="00412BDC"/>
    <w:rsid w:val="0041470D"/>
    <w:rsid w:val="00416CFF"/>
    <w:rsid w:val="00417BB4"/>
    <w:rsid w:val="0042150D"/>
    <w:rsid w:val="00424A82"/>
    <w:rsid w:val="00432219"/>
    <w:rsid w:val="00432C6F"/>
    <w:rsid w:val="00433C95"/>
    <w:rsid w:val="00434E68"/>
    <w:rsid w:val="00445059"/>
    <w:rsid w:val="004520CB"/>
    <w:rsid w:val="00452C48"/>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B1034"/>
    <w:rsid w:val="004B370A"/>
    <w:rsid w:val="004B4909"/>
    <w:rsid w:val="004B7628"/>
    <w:rsid w:val="004C2C85"/>
    <w:rsid w:val="004C3A2F"/>
    <w:rsid w:val="004D048E"/>
    <w:rsid w:val="004D2EDF"/>
    <w:rsid w:val="004E0C0A"/>
    <w:rsid w:val="004E3AB6"/>
    <w:rsid w:val="004E4945"/>
    <w:rsid w:val="004E6F6A"/>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2EB2"/>
    <w:rsid w:val="00523103"/>
    <w:rsid w:val="0052397B"/>
    <w:rsid w:val="005267A7"/>
    <w:rsid w:val="0053558D"/>
    <w:rsid w:val="005408BF"/>
    <w:rsid w:val="00541DEE"/>
    <w:rsid w:val="00542BEA"/>
    <w:rsid w:val="00544433"/>
    <w:rsid w:val="00545938"/>
    <w:rsid w:val="005477E0"/>
    <w:rsid w:val="005514A1"/>
    <w:rsid w:val="00552FAE"/>
    <w:rsid w:val="00557EBE"/>
    <w:rsid w:val="0057175B"/>
    <w:rsid w:val="00572D55"/>
    <w:rsid w:val="0057603D"/>
    <w:rsid w:val="0058018E"/>
    <w:rsid w:val="00592312"/>
    <w:rsid w:val="005925CD"/>
    <w:rsid w:val="005933EE"/>
    <w:rsid w:val="005940C0"/>
    <w:rsid w:val="00594601"/>
    <w:rsid w:val="005970BD"/>
    <w:rsid w:val="00597A89"/>
    <w:rsid w:val="005B2E49"/>
    <w:rsid w:val="005B32E1"/>
    <w:rsid w:val="005B3B3B"/>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6652"/>
    <w:rsid w:val="0064724F"/>
    <w:rsid w:val="00652CDF"/>
    <w:rsid w:val="00652F0B"/>
    <w:rsid w:val="006536D9"/>
    <w:rsid w:val="00654688"/>
    <w:rsid w:val="00657F20"/>
    <w:rsid w:val="006604E5"/>
    <w:rsid w:val="00662426"/>
    <w:rsid w:val="00666904"/>
    <w:rsid w:val="006677F2"/>
    <w:rsid w:val="00667C9B"/>
    <w:rsid w:val="006720A1"/>
    <w:rsid w:val="00677629"/>
    <w:rsid w:val="006863BB"/>
    <w:rsid w:val="00694FBF"/>
    <w:rsid w:val="00695285"/>
    <w:rsid w:val="006A2317"/>
    <w:rsid w:val="006A3BBA"/>
    <w:rsid w:val="006B568D"/>
    <w:rsid w:val="006C3AD0"/>
    <w:rsid w:val="006C709C"/>
    <w:rsid w:val="006D0483"/>
    <w:rsid w:val="006D2A45"/>
    <w:rsid w:val="006D5DBD"/>
    <w:rsid w:val="006E08EE"/>
    <w:rsid w:val="006E3316"/>
    <w:rsid w:val="006E4046"/>
    <w:rsid w:val="006E5F52"/>
    <w:rsid w:val="006F0C8C"/>
    <w:rsid w:val="006F65EB"/>
    <w:rsid w:val="007073C4"/>
    <w:rsid w:val="00723F24"/>
    <w:rsid w:val="0074308E"/>
    <w:rsid w:val="00744D2D"/>
    <w:rsid w:val="007451D9"/>
    <w:rsid w:val="007507F8"/>
    <w:rsid w:val="00751B04"/>
    <w:rsid w:val="00753D76"/>
    <w:rsid w:val="00753F73"/>
    <w:rsid w:val="00756B14"/>
    <w:rsid w:val="00761D09"/>
    <w:rsid w:val="0076349B"/>
    <w:rsid w:val="00764176"/>
    <w:rsid w:val="0076480E"/>
    <w:rsid w:val="0076488D"/>
    <w:rsid w:val="00765AFF"/>
    <w:rsid w:val="00772044"/>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81D"/>
    <w:rsid w:val="007C6FB9"/>
    <w:rsid w:val="007C7045"/>
    <w:rsid w:val="007F18B6"/>
    <w:rsid w:val="007F294A"/>
    <w:rsid w:val="007F35A0"/>
    <w:rsid w:val="007F3ABF"/>
    <w:rsid w:val="007F557A"/>
    <w:rsid w:val="007F6939"/>
    <w:rsid w:val="007F751F"/>
    <w:rsid w:val="008002DC"/>
    <w:rsid w:val="008031EE"/>
    <w:rsid w:val="00805FD6"/>
    <w:rsid w:val="008078B9"/>
    <w:rsid w:val="00810DA7"/>
    <w:rsid w:val="00821EE9"/>
    <w:rsid w:val="00826010"/>
    <w:rsid w:val="008279CC"/>
    <w:rsid w:val="008335E3"/>
    <w:rsid w:val="00836085"/>
    <w:rsid w:val="00837515"/>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5852"/>
    <w:rsid w:val="008A22B9"/>
    <w:rsid w:val="008A3D88"/>
    <w:rsid w:val="008A5439"/>
    <w:rsid w:val="008B2573"/>
    <w:rsid w:val="008B2987"/>
    <w:rsid w:val="008B2B56"/>
    <w:rsid w:val="008B3BCF"/>
    <w:rsid w:val="008B4DD3"/>
    <w:rsid w:val="008B503B"/>
    <w:rsid w:val="008B579B"/>
    <w:rsid w:val="008C14DA"/>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4686"/>
    <w:rsid w:val="00913DF5"/>
    <w:rsid w:val="009156F3"/>
    <w:rsid w:val="00916081"/>
    <w:rsid w:val="00917967"/>
    <w:rsid w:val="00920F05"/>
    <w:rsid w:val="009245E8"/>
    <w:rsid w:val="00931CDD"/>
    <w:rsid w:val="0093286C"/>
    <w:rsid w:val="00952AB2"/>
    <w:rsid w:val="00963BE4"/>
    <w:rsid w:val="009650C0"/>
    <w:rsid w:val="00970046"/>
    <w:rsid w:val="00970D21"/>
    <w:rsid w:val="00972160"/>
    <w:rsid w:val="00983E45"/>
    <w:rsid w:val="00985128"/>
    <w:rsid w:val="009852A7"/>
    <w:rsid w:val="00987762"/>
    <w:rsid w:val="009907BA"/>
    <w:rsid w:val="009A4284"/>
    <w:rsid w:val="009A5651"/>
    <w:rsid w:val="009A744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A1E9D"/>
    <w:rsid w:val="00AA3851"/>
    <w:rsid w:val="00AB370A"/>
    <w:rsid w:val="00AB3CD8"/>
    <w:rsid w:val="00AB4F11"/>
    <w:rsid w:val="00AB641B"/>
    <w:rsid w:val="00AB7F33"/>
    <w:rsid w:val="00AC1D3E"/>
    <w:rsid w:val="00AC1D5B"/>
    <w:rsid w:val="00AC7E71"/>
    <w:rsid w:val="00AE180D"/>
    <w:rsid w:val="00AE6033"/>
    <w:rsid w:val="00AF1A8B"/>
    <w:rsid w:val="00AF334B"/>
    <w:rsid w:val="00AF654D"/>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128F"/>
    <w:rsid w:val="00BA3296"/>
    <w:rsid w:val="00BA5467"/>
    <w:rsid w:val="00BA58CB"/>
    <w:rsid w:val="00BA6016"/>
    <w:rsid w:val="00BA70B9"/>
    <w:rsid w:val="00BB2427"/>
    <w:rsid w:val="00BB54CD"/>
    <w:rsid w:val="00BB6A64"/>
    <w:rsid w:val="00BC5C98"/>
    <w:rsid w:val="00BC660B"/>
    <w:rsid w:val="00BC7B75"/>
    <w:rsid w:val="00BC7BD4"/>
    <w:rsid w:val="00BD11D5"/>
    <w:rsid w:val="00BD14BB"/>
    <w:rsid w:val="00BD65A0"/>
    <w:rsid w:val="00BF488E"/>
    <w:rsid w:val="00BF510A"/>
    <w:rsid w:val="00BF6FF4"/>
    <w:rsid w:val="00BF7382"/>
    <w:rsid w:val="00C01B2B"/>
    <w:rsid w:val="00C034A3"/>
    <w:rsid w:val="00C07016"/>
    <w:rsid w:val="00C075D3"/>
    <w:rsid w:val="00C07A9C"/>
    <w:rsid w:val="00C10189"/>
    <w:rsid w:val="00C12867"/>
    <w:rsid w:val="00C1290B"/>
    <w:rsid w:val="00C253E7"/>
    <w:rsid w:val="00C337C6"/>
    <w:rsid w:val="00C35B9A"/>
    <w:rsid w:val="00C37FFD"/>
    <w:rsid w:val="00C4000C"/>
    <w:rsid w:val="00C469CF"/>
    <w:rsid w:val="00C47EAA"/>
    <w:rsid w:val="00C52094"/>
    <w:rsid w:val="00C54A39"/>
    <w:rsid w:val="00C563E5"/>
    <w:rsid w:val="00C62372"/>
    <w:rsid w:val="00C66F7E"/>
    <w:rsid w:val="00C74562"/>
    <w:rsid w:val="00C7587B"/>
    <w:rsid w:val="00C7592C"/>
    <w:rsid w:val="00C76BC7"/>
    <w:rsid w:val="00C771A6"/>
    <w:rsid w:val="00C772F9"/>
    <w:rsid w:val="00C825B7"/>
    <w:rsid w:val="00C832B7"/>
    <w:rsid w:val="00C90811"/>
    <w:rsid w:val="00C9159C"/>
    <w:rsid w:val="00C97749"/>
    <w:rsid w:val="00CA1C60"/>
    <w:rsid w:val="00CA371A"/>
    <w:rsid w:val="00CA3A21"/>
    <w:rsid w:val="00CA3BD3"/>
    <w:rsid w:val="00CA44D4"/>
    <w:rsid w:val="00CA530C"/>
    <w:rsid w:val="00CA62CE"/>
    <w:rsid w:val="00CA68D6"/>
    <w:rsid w:val="00CA6D0A"/>
    <w:rsid w:val="00CA79E2"/>
    <w:rsid w:val="00CB2C7D"/>
    <w:rsid w:val="00CC112D"/>
    <w:rsid w:val="00CC3635"/>
    <w:rsid w:val="00CC6695"/>
    <w:rsid w:val="00CD017F"/>
    <w:rsid w:val="00CD0EF1"/>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BBF"/>
    <w:rsid w:val="00D24F7C"/>
    <w:rsid w:val="00D255B6"/>
    <w:rsid w:val="00D375D6"/>
    <w:rsid w:val="00D40A77"/>
    <w:rsid w:val="00D41028"/>
    <w:rsid w:val="00D41043"/>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6860"/>
    <w:rsid w:val="00D91519"/>
    <w:rsid w:val="00D9573E"/>
    <w:rsid w:val="00D97D52"/>
    <w:rsid w:val="00DA33F0"/>
    <w:rsid w:val="00DA35CE"/>
    <w:rsid w:val="00DB420A"/>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21B15"/>
    <w:rsid w:val="00E27134"/>
    <w:rsid w:val="00E31FA5"/>
    <w:rsid w:val="00E32FA6"/>
    <w:rsid w:val="00E334FB"/>
    <w:rsid w:val="00E34591"/>
    <w:rsid w:val="00E35F64"/>
    <w:rsid w:val="00E371A4"/>
    <w:rsid w:val="00E37B10"/>
    <w:rsid w:val="00E45DCB"/>
    <w:rsid w:val="00E4646E"/>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B0905"/>
    <w:rsid w:val="00EC020C"/>
    <w:rsid w:val="00EC0589"/>
    <w:rsid w:val="00EC115F"/>
    <w:rsid w:val="00EC539D"/>
    <w:rsid w:val="00EC71D8"/>
    <w:rsid w:val="00EC7A5B"/>
    <w:rsid w:val="00ED0D9C"/>
    <w:rsid w:val="00ED0F93"/>
    <w:rsid w:val="00ED442B"/>
    <w:rsid w:val="00ED6BFC"/>
    <w:rsid w:val="00EE07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414E5"/>
    <w:rsid w:val="00F420FF"/>
    <w:rsid w:val="00F4238A"/>
    <w:rsid w:val="00F502E2"/>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AB4"/>
    <w:rsid w:val="00F83E67"/>
    <w:rsid w:val="00F87286"/>
    <w:rsid w:val="00F92211"/>
    <w:rsid w:val="00F939EA"/>
    <w:rsid w:val="00F94057"/>
    <w:rsid w:val="00F94D33"/>
    <w:rsid w:val="00FA03AF"/>
    <w:rsid w:val="00FA174E"/>
    <w:rsid w:val="00FA1DAC"/>
    <w:rsid w:val="00FA21CD"/>
    <w:rsid w:val="00FA4454"/>
    <w:rsid w:val="00FB04F7"/>
    <w:rsid w:val="00FB07EA"/>
    <w:rsid w:val="00FB1257"/>
    <w:rsid w:val="00FB2521"/>
    <w:rsid w:val="00FB6D95"/>
    <w:rsid w:val="00FB7E30"/>
    <w:rsid w:val="00FC03C9"/>
    <w:rsid w:val="00FC2020"/>
    <w:rsid w:val="00FC2AB7"/>
    <w:rsid w:val="00FC2D90"/>
    <w:rsid w:val="00FC3276"/>
    <w:rsid w:val="00FC3E3A"/>
    <w:rsid w:val="00FC440B"/>
    <w:rsid w:val="00FC7115"/>
    <w:rsid w:val="00FD28A7"/>
    <w:rsid w:val="00FD4F93"/>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D4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semiHidden/>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D4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semiHidden/>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AAB07-F828-40ED-91EC-9711895C6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2451</Words>
  <Characters>13971</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16390</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8</cp:revision>
  <cp:lastPrinted>2020-03-07T11:48:00Z</cp:lastPrinted>
  <dcterms:created xsi:type="dcterms:W3CDTF">2020-03-07T11:00:00Z</dcterms:created>
  <dcterms:modified xsi:type="dcterms:W3CDTF">2020-03-07T11:48:00Z</dcterms:modified>
</cp:coreProperties>
</file>