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4C" w:rsidRDefault="00B96C4C" w:rsidP="009C3357">
      <w:pPr>
        <w:rPr>
          <w:rFonts w:ascii="Arial" w:hAnsi="Arial" w:cs="Arial"/>
          <w:b/>
          <w:sz w:val="22"/>
          <w:szCs w:val="22"/>
          <w:u w:val="single"/>
        </w:rPr>
      </w:pPr>
    </w:p>
    <w:p w:rsidR="004C301E" w:rsidRDefault="004C301E" w:rsidP="004C30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167E9" w:rsidRDefault="001167E9" w:rsidP="001167E9">
      <w:pPr>
        <w:rPr>
          <w:rFonts w:ascii="Arial" w:hAnsi="Arial" w:cs="Arial"/>
          <w:b/>
          <w:sz w:val="22"/>
          <w:szCs w:val="22"/>
          <w:u w:val="single"/>
        </w:rPr>
      </w:pPr>
    </w:p>
    <w:p w:rsidR="003B2EC1" w:rsidRDefault="003B2EC1" w:rsidP="004C30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301E" w:rsidRPr="005227E4" w:rsidRDefault="004C301E" w:rsidP="004C30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WALK IN SELECTION TEST OF T&amp;D TRAINEES @HLL LIFECARE LTD, PEROORKADA</w:t>
      </w:r>
    </w:p>
    <w:p w:rsidR="004C301E" w:rsidRDefault="004C301E" w:rsidP="004C301E">
      <w:pPr>
        <w:rPr>
          <w:rFonts w:ascii="Arial" w:hAnsi="Arial" w:cs="Arial"/>
          <w:b/>
          <w:sz w:val="20"/>
          <w:szCs w:val="20"/>
        </w:rPr>
      </w:pPr>
    </w:p>
    <w:p w:rsidR="004C301E" w:rsidRPr="00433720" w:rsidRDefault="004C301E" w:rsidP="004C301E">
      <w:pPr>
        <w:jc w:val="both"/>
        <w:rPr>
          <w:rFonts w:ascii="Arial" w:hAnsi="Arial" w:cs="Arial"/>
          <w:b/>
        </w:rPr>
      </w:pPr>
      <w:r w:rsidRPr="00433720">
        <w:rPr>
          <w:rFonts w:ascii="Arial" w:hAnsi="Arial" w:cs="Arial"/>
          <w:b/>
        </w:rPr>
        <w:t xml:space="preserve">HLL </w:t>
      </w:r>
      <w:proofErr w:type="spellStart"/>
      <w:r w:rsidRPr="00433720">
        <w:rPr>
          <w:rFonts w:ascii="Arial" w:hAnsi="Arial" w:cs="Arial"/>
          <w:b/>
        </w:rPr>
        <w:t>Lifecare</w:t>
      </w:r>
      <w:proofErr w:type="spellEnd"/>
      <w:r w:rsidRPr="00433720">
        <w:rPr>
          <w:rFonts w:ascii="Arial" w:hAnsi="Arial" w:cs="Arial"/>
          <w:b/>
        </w:rPr>
        <w:t xml:space="preserve"> Limited, a Mini </w:t>
      </w:r>
      <w:proofErr w:type="spellStart"/>
      <w:r w:rsidRPr="00433720">
        <w:rPr>
          <w:rFonts w:ascii="Arial" w:hAnsi="Arial" w:cs="Arial"/>
          <w:b/>
        </w:rPr>
        <w:t>Ratna</w:t>
      </w:r>
      <w:proofErr w:type="spellEnd"/>
      <w:r w:rsidRPr="00433720">
        <w:rPr>
          <w:rFonts w:ascii="Arial" w:hAnsi="Arial" w:cs="Arial"/>
          <w:b/>
        </w:rPr>
        <w:t xml:space="preserve"> Public Sector Enterprise under the Ministry of Health and Family Welfare, Govt. of India is looking personnel for training under its Training &amp; Development Scheme to enable them to seek eventual employment elsewhere.</w:t>
      </w:r>
    </w:p>
    <w:p w:rsidR="004C301E" w:rsidRPr="00C7457F" w:rsidRDefault="004C301E" w:rsidP="004C301E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97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275"/>
        <w:gridCol w:w="1418"/>
        <w:gridCol w:w="1559"/>
        <w:gridCol w:w="1998"/>
      </w:tblGrid>
      <w:tr w:rsidR="004C301E" w:rsidRPr="00940BF7" w:rsidTr="00B645DE">
        <w:trPr>
          <w:trHeight w:val="918"/>
        </w:trPr>
        <w:tc>
          <w:tcPr>
            <w:tcW w:w="1277" w:type="dxa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940BF7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268" w:type="dxa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940BF7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Qualification</w:t>
            </w:r>
            <w:r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2693" w:type="dxa"/>
            <w:gridSpan w:val="2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940BF7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Stipend (Monthly)</w:t>
            </w:r>
          </w:p>
        </w:tc>
        <w:tc>
          <w:tcPr>
            <w:tcW w:w="1559" w:type="dxa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940BF7" w:rsidRDefault="004C301E" w:rsidP="0070182D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Age</w:t>
            </w:r>
            <w:r>
              <w:rPr>
                <w:rFonts w:ascii="Arial" w:hAnsi="Arial" w:cs="Arial"/>
                <w:b/>
              </w:rPr>
              <w:t xml:space="preserve"> as on </w:t>
            </w:r>
            <w:r w:rsidR="0070182D">
              <w:rPr>
                <w:rFonts w:ascii="Arial" w:hAnsi="Arial" w:cs="Arial"/>
                <w:b/>
              </w:rPr>
              <w:t>01.01.2025</w:t>
            </w:r>
          </w:p>
        </w:tc>
        <w:tc>
          <w:tcPr>
            <w:tcW w:w="1998" w:type="dxa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940BF7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Date, Time &amp; Venue of S</w:t>
            </w:r>
            <w:r w:rsidRPr="00940BF7">
              <w:rPr>
                <w:rFonts w:ascii="Arial" w:hAnsi="Arial" w:cs="Arial"/>
                <w:b/>
              </w:rPr>
              <w:t>election test</w:t>
            </w:r>
          </w:p>
        </w:tc>
      </w:tr>
      <w:tr w:rsidR="004C301E" w:rsidRPr="005537E9" w:rsidTr="002E08CB">
        <w:trPr>
          <w:trHeight w:val="98"/>
        </w:trPr>
        <w:tc>
          <w:tcPr>
            <w:tcW w:w="1277" w:type="dxa"/>
            <w:vMerge w:val="restart"/>
            <w:vAlign w:val="bottom"/>
          </w:tcPr>
          <w:p w:rsidR="004C301E" w:rsidRPr="005537E9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SSLC Trainees</w:t>
            </w:r>
          </w:p>
        </w:tc>
        <w:tc>
          <w:tcPr>
            <w:tcW w:w="2268" w:type="dxa"/>
            <w:vMerge w:val="restart"/>
            <w:vAlign w:val="bottom"/>
          </w:tcPr>
          <w:p w:rsidR="004C301E" w:rsidRPr="00E336D1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336D1">
              <w:rPr>
                <w:rFonts w:ascii="Arial" w:hAnsi="Arial" w:cs="Arial"/>
                <w:b/>
                <w:bCs/>
                <w:color w:val="000000"/>
                <w:lang w:bidi="hi-IN"/>
              </w:rPr>
              <w:t>SSLC/VHSE/ Plus 2 Pass</w:t>
            </w: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9000/-</w:t>
            </w:r>
          </w:p>
        </w:tc>
        <w:tc>
          <w:tcPr>
            <w:tcW w:w="1559" w:type="dxa"/>
            <w:vMerge w:val="restart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18-30 years </w:t>
            </w:r>
          </w:p>
        </w:tc>
        <w:tc>
          <w:tcPr>
            <w:tcW w:w="1998" w:type="dxa"/>
            <w:vMerge w:val="restart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70182D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10.01.2025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Reporting Time:- 09.15 AM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Time of Test:-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 11.45 AM   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      to 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 12.15 PM         (30 minutes)     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Venue:- SARGAM Hall, HLL </w:t>
            </w:r>
            <w:proofErr w:type="spellStart"/>
            <w:r w:rsidRPr="005537E9">
              <w:rPr>
                <w:rFonts w:ascii="Arial" w:hAnsi="Arial" w:cs="Arial"/>
                <w:b/>
              </w:rPr>
              <w:t>Lifecare</w:t>
            </w:r>
            <w:proofErr w:type="spellEnd"/>
            <w:r w:rsidRPr="005537E9">
              <w:rPr>
                <w:rFonts w:ascii="Arial" w:hAnsi="Arial" w:cs="Arial"/>
                <w:b/>
              </w:rPr>
              <w:t xml:space="preserve"> Ltd, </w:t>
            </w:r>
            <w:proofErr w:type="spellStart"/>
            <w:r w:rsidRPr="005537E9">
              <w:rPr>
                <w:rFonts w:ascii="Arial" w:hAnsi="Arial" w:cs="Arial"/>
                <w:b/>
              </w:rPr>
              <w:t>Peroorkada</w:t>
            </w:r>
            <w:proofErr w:type="spellEnd"/>
            <w:r w:rsidRPr="005537E9">
              <w:rPr>
                <w:rFonts w:ascii="Arial" w:hAnsi="Arial" w:cs="Arial"/>
                <w:b/>
              </w:rPr>
              <w:t xml:space="preserve"> Factory, Trivandrum-5</w:t>
            </w:r>
          </w:p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98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Rs.10000/-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98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Rs.11500/-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2E08CB">
        <w:trPr>
          <w:trHeight w:val="98"/>
        </w:trPr>
        <w:tc>
          <w:tcPr>
            <w:tcW w:w="1277" w:type="dxa"/>
            <w:vMerge w:val="restart"/>
            <w:vAlign w:val="bottom"/>
          </w:tcPr>
          <w:p w:rsidR="004C301E" w:rsidRPr="005537E9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ITI Trainees</w:t>
            </w:r>
          </w:p>
        </w:tc>
        <w:tc>
          <w:tcPr>
            <w:tcW w:w="2268" w:type="dxa"/>
            <w:vMerge w:val="restart"/>
            <w:vAlign w:val="bottom"/>
          </w:tcPr>
          <w:p w:rsidR="004C301E" w:rsidRPr="005537E9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ITI (Pass)</w:t>
            </w: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9500/-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98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Rs.10500/-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98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  <w:vertAlign w:val="superscript"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Rs.12000/-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2E08CB">
        <w:trPr>
          <w:trHeight w:val="287"/>
        </w:trPr>
        <w:tc>
          <w:tcPr>
            <w:tcW w:w="1277" w:type="dxa"/>
            <w:vMerge w:val="restart"/>
          </w:tcPr>
          <w:p w:rsidR="004C301E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4C301E" w:rsidRPr="005537E9" w:rsidRDefault="004C301E" w:rsidP="002E08C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Graduate Trainees</w:t>
            </w:r>
          </w:p>
        </w:tc>
        <w:tc>
          <w:tcPr>
            <w:tcW w:w="2268" w:type="dxa"/>
            <w:vMerge w:val="restart"/>
          </w:tcPr>
          <w:p w:rsidR="004C301E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4C301E" w:rsidRPr="005537E9" w:rsidRDefault="004C301E" w:rsidP="00325AF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5537E9">
              <w:rPr>
                <w:rFonts w:ascii="Arial" w:hAnsi="Arial" w:cs="Arial"/>
                <w:b/>
              </w:rPr>
              <w:t>Bsc</w:t>
            </w:r>
            <w:proofErr w:type="spellEnd"/>
            <w:r w:rsidRPr="005537E9">
              <w:rPr>
                <w:rFonts w:ascii="Arial" w:hAnsi="Arial" w:cs="Arial"/>
                <w:b/>
              </w:rPr>
              <w:t>. Physics/Chemistry/</w:t>
            </w:r>
            <w:proofErr w:type="spellStart"/>
            <w:r w:rsidRPr="005537E9">
              <w:rPr>
                <w:rFonts w:ascii="Arial" w:hAnsi="Arial" w:cs="Arial"/>
                <w:b/>
              </w:rPr>
              <w:t>Maths</w:t>
            </w:r>
            <w:proofErr w:type="spellEnd"/>
            <w:r w:rsidR="006F270B">
              <w:rPr>
                <w:rFonts w:ascii="Arial" w:hAnsi="Arial" w:cs="Arial"/>
                <w:b/>
              </w:rPr>
              <w:t xml:space="preserve">/Botany/ Zoology </w:t>
            </w:r>
            <w:r>
              <w:rPr>
                <w:rFonts w:ascii="Arial" w:hAnsi="Arial" w:cs="Arial"/>
                <w:b/>
              </w:rPr>
              <w:t xml:space="preserve"> &amp; computer Science</w:t>
            </w:r>
            <w:r w:rsidR="0066439B">
              <w:rPr>
                <w:rFonts w:ascii="Arial" w:hAnsi="Arial" w:cs="Arial"/>
                <w:b/>
              </w:rPr>
              <w:t xml:space="preserve"> </w:t>
            </w:r>
            <w:r w:rsidRPr="005537E9">
              <w:rPr>
                <w:rFonts w:ascii="Arial" w:hAnsi="Arial" w:cs="Arial"/>
                <w:b/>
              </w:rPr>
              <w:t>(Pass)</w:t>
            </w: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10000/-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287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Rs.11000/-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4C301E" w:rsidRPr="005537E9" w:rsidTr="00B645DE">
        <w:trPr>
          <w:trHeight w:val="287"/>
        </w:trPr>
        <w:tc>
          <w:tcPr>
            <w:tcW w:w="1277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Rs.12500/-</w:t>
            </w:r>
          </w:p>
        </w:tc>
        <w:tc>
          <w:tcPr>
            <w:tcW w:w="1559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4C301E" w:rsidRPr="005537E9" w:rsidRDefault="004C301E" w:rsidP="00B645D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C301E" w:rsidRPr="005537E9" w:rsidRDefault="004C301E" w:rsidP="004C301E">
      <w:pPr>
        <w:rPr>
          <w:rFonts w:ascii="Arial" w:hAnsi="Arial" w:cs="Arial"/>
          <w:b/>
        </w:rPr>
      </w:pPr>
    </w:p>
    <w:p w:rsidR="004C301E" w:rsidRPr="00A707D6" w:rsidRDefault="004C301E" w:rsidP="00935031">
      <w:pPr>
        <w:spacing w:line="360" w:lineRule="auto"/>
        <w:ind w:left="-426" w:right="-360"/>
        <w:rPr>
          <w:rFonts w:ascii="Arial" w:hAnsi="Arial" w:cs="Arial"/>
          <w:b/>
          <w:bCs/>
          <w:u w:val="single"/>
        </w:rPr>
      </w:pPr>
      <w:r w:rsidRPr="00940BF7">
        <w:rPr>
          <w:rFonts w:ascii="Arial" w:hAnsi="Arial" w:cs="Arial"/>
          <w:b/>
          <w:bCs/>
          <w:u w:val="single"/>
        </w:rPr>
        <w:t>General Conditions</w:t>
      </w:r>
    </w:p>
    <w:p w:rsidR="00DA2AE6" w:rsidRPr="001A3B4E" w:rsidRDefault="00FC42CE" w:rsidP="00935031">
      <w:pPr>
        <w:pStyle w:val="ListParagraph"/>
        <w:numPr>
          <w:ilvl w:val="0"/>
          <w:numId w:val="10"/>
        </w:numPr>
        <w:spacing w:after="160" w:line="480" w:lineRule="auto"/>
        <w:ind w:left="-142"/>
        <w:rPr>
          <w:rFonts w:ascii="Arial" w:hAnsi="Arial" w:cs="Arial"/>
        </w:rPr>
      </w:pPr>
      <w:r w:rsidRPr="001A3B4E">
        <w:rPr>
          <w:rFonts w:ascii="Arial" w:hAnsi="Arial" w:cs="Arial"/>
        </w:rPr>
        <w:t xml:space="preserve">All candidates are required to report at </w:t>
      </w:r>
      <w:r w:rsidR="001F2014" w:rsidRPr="001A3B4E">
        <w:rPr>
          <w:rFonts w:ascii="Arial" w:hAnsi="Arial" w:cs="Arial"/>
        </w:rPr>
        <w:t xml:space="preserve">09.15 AM </w:t>
      </w:r>
      <w:r w:rsidR="00DA2AE6" w:rsidRPr="001A3B4E">
        <w:rPr>
          <w:rFonts w:ascii="Arial" w:hAnsi="Arial" w:cs="Arial"/>
        </w:rPr>
        <w:t xml:space="preserve">on </w:t>
      </w:r>
      <w:r w:rsidR="00DD2AF5">
        <w:rPr>
          <w:rFonts w:ascii="Arial" w:hAnsi="Arial" w:cs="Arial"/>
        </w:rPr>
        <w:t>10</w:t>
      </w:r>
      <w:r w:rsidR="00DA2AE6" w:rsidRPr="001A3B4E">
        <w:rPr>
          <w:rFonts w:ascii="Arial" w:hAnsi="Arial" w:cs="Arial"/>
          <w:vertAlign w:val="superscript"/>
        </w:rPr>
        <w:t>th</w:t>
      </w:r>
      <w:r w:rsidR="00DA2AE6" w:rsidRPr="001A3B4E">
        <w:rPr>
          <w:rFonts w:ascii="Arial" w:hAnsi="Arial" w:cs="Arial"/>
        </w:rPr>
        <w:t xml:space="preserve"> </w:t>
      </w:r>
      <w:r w:rsidR="00DD2AF5">
        <w:rPr>
          <w:rFonts w:ascii="Arial" w:hAnsi="Arial" w:cs="Arial"/>
        </w:rPr>
        <w:t>January 2025</w:t>
      </w:r>
      <w:r w:rsidR="00DA2AE6" w:rsidRPr="001A3B4E">
        <w:rPr>
          <w:rFonts w:ascii="Arial" w:hAnsi="Arial" w:cs="Arial"/>
        </w:rPr>
        <w:t>,</w:t>
      </w:r>
      <w:r w:rsidR="00DD2AF5">
        <w:rPr>
          <w:rFonts w:ascii="Arial" w:hAnsi="Arial" w:cs="Arial"/>
        </w:rPr>
        <w:t xml:space="preserve"> </w:t>
      </w:r>
      <w:r w:rsidR="00DA2AE6" w:rsidRPr="001A3B4E">
        <w:rPr>
          <w:rFonts w:ascii="Arial" w:hAnsi="Arial" w:cs="Arial"/>
        </w:rPr>
        <w:t xml:space="preserve">to the venue cited above and those who fail to report </w:t>
      </w:r>
      <w:r w:rsidR="00D96FA8">
        <w:rPr>
          <w:rFonts w:ascii="Arial" w:hAnsi="Arial" w:cs="Arial"/>
        </w:rPr>
        <w:t>within</w:t>
      </w:r>
      <w:r w:rsidR="00DA2AE6" w:rsidRPr="001A3B4E">
        <w:rPr>
          <w:rFonts w:ascii="Arial" w:hAnsi="Arial" w:cs="Arial"/>
        </w:rPr>
        <w:t xml:space="preserve"> specified time and date will not be permitted to attend the test.</w:t>
      </w:r>
    </w:p>
    <w:p w:rsidR="00DA2AE6" w:rsidRPr="001A3B4E" w:rsidRDefault="00DA2AE6" w:rsidP="00935031">
      <w:pPr>
        <w:pStyle w:val="ListParagraph"/>
        <w:numPr>
          <w:ilvl w:val="0"/>
          <w:numId w:val="10"/>
        </w:numPr>
        <w:spacing w:after="160" w:line="480" w:lineRule="auto"/>
        <w:ind w:left="-142"/>
        <w:rPr>
          <w:rFonts w:ascii="Arial" w:hAnsi="Arial" w:cs="Arial"/>
        </w:rPr>
      </w:pPr>
      <w:r w:rsidRPr="001A3B4E">
        <w:rPr>
          <w:rFonts w:ascii="Arial" w:hAnsi="Arial" w:cs="Arial"/>
        </w:rPr>
        <w:t>All trainees are required to adhere to the factory norms and shift timings.</w:t>
      </w:r>
    </w:p>
    <w:p w:rsidR="00DA2AE6" w:rsidRPr="001A3B4E" w:rsidRDefault="00DA2AE6" w:rsidP="00935031">
      <w:pPr>
        <w:pStyle w:val="ListParagraph"/>
        <w:numPr>
          <w:ilvl w:val="0"/>
          <w:numId w:val="10"/>
        </w:numPr>
        <w:spacing w:after="160" w:line="480" w:lineRule="auto"/>
        <w:ind w:left="-142"/>
        <w:rPr>
          <w:rFonts w:ascii="Arial" w:hAnsi="Arial" w:cs="Arial"/>
        </w:rPr>
      </w:pPr>
      <w:r w:rsidRPr="001A3B4E">
        <w:rPr>
          <w:rFonts w:ascii="Arial" w:hAnsi="Arial" w:cs="Arial"/>
        </w:rPr>
        <w:t>The selection and recruitment process will follow the reservation guidelines as per the Government of India norms.</w:t>
      </w:r>
    </w:p>
    <w:p w:rsidR="008652A8" w:rsidRPr="001A3B4E" w:rsidRDefault="00DA2AE6" w:rsidP="00935031">
      <w:pPr>
        <w:pStyle w:val="ListParagraph"/>
        <w:numPr>
          <w:ilvl w:val="0"/>
          <w:numId w:val="10"/>
        </w:numPr>
        <w:spacing w:after="160" w:line="480" w:lineRule="auto"/>
        <w:ind w:left="-142"/>
        <w:rPr>
          <w:rFonts w:ascii="Arial" w:hAnsi="Arial" w:cs="Arial"/>
        </w:rPr>
      </w:pPr>
      <w:r w:rsidRPr="001A3B4E">
        <w:rPr>
          <w:rFonts w:ascii="Arial" w:hAnsi="Arial" w:cs="Arial"/>
        </w:rPr>
        <w:t xml:space="preserve">Participation in the above-mentioned training </w:t>
      </w:r>
      <w:r w:rsidR="008652A8" w:rsidRPr="001A3B4E">
        <w:rPr>
          <w:rFonts w:ascii="Arial" w:hAnsi="Arial" w:cs="Arial"/>
        </w:rPr>
        <w:t xml:space="preserve">program </w:t>
      </w:r>
      <w:r w:rsidRPr="001A3B4E">
        <w:rPr>
          <w:rFonts w:ascii="Arial" w:hAnsi="Arial" w:cs="Arial"/>
        </w:rPr>
        <w:t xml:space="preserve">does </w:t>
      </w:r>
      <w:r w:rsidR="008652A8" w:rsidRPr="001A3B4E">
        <w:rPr>
          <w:rFonts w:ascii="Arial" w:hAnsi="Arial" w:cs="Arial"/>
        </w:rPr>
        <w:t>not confer any claim for regular employment with the company. This training is designed to provide skills and knowledge enhancement, and completion of the program does not guarantee a job position within the organization.</w:t>
      </w:r>
    </w:p>
    <w:p w:rsidR="008652A8" w:rsidRDefault="008652A8" w:rsidP="00935031">
      <w:pPr>
        <w:pStyle w:val="ListParagraph"/>
        <w:numPr>
          <w:ilvl w:val="0"/>
          <w:numId w:val="10"/>
        </w:numPr>
        <w:spacing w:after="160" w:line="480" w:lineRule="auto"/>
        <w:ind w:left="-142"/>
        <w:rPr>
          <w:rFonts w:ascii="Arial" w:hAnsi="Arial" w:cs="Arial"/>
        </w:rPr>
      </w:pPr>
      <w:r w:rsidRPr="001A3B4E">
        <w:rPr>
          <w:rFonts w:ascii="Arial" w:hAnsi="Arial" w:cs="Arial"/>
        </w:rPr>
        <w:t>The training period will be for a duration of three years. However, the company reserves the right to reduce this period at its discretion without further notice or assigning any reason whatsoever…</w:t>
      </w:r>
    </w:p>
    <w:p w:rsidR="003417E4" w:rsidRDefault="003417E4" w:rsidP="003417E4">
      <w:pPr>
        <w:pStyle w:val="ListParagraph"/>
        <w:spacing w:after="160" w:line="480" w:lineRule="auto"/>
        <w:rPr>
          <w:rFonts w:ascii="Arial" w:hAnsi="Arial" w:cs="Arial"/>
        </w:rPr>
      </w:pPr>
    </w:p>
    <w:p w:rsidR="001167E9" w:rsidRDefault="001167E9" w:rsidP="003417E4">
      <w:pPr>
        <w:pStyle w:val="ListParagraph"/>
        <w:spacing w:after="160" w:line="480" w:lineRule="auto"/>
        <w:rPr>
          <w:rFonts w:ascii="Arial" w:hAnsi="Arial" w:cs="Arial"/>
        </w:rPr>
      </w:pPr>
    </w:p>
    <w:p w:rsidR="001167E9" w:rsidRPr="001A3B4E" w:rsidRDefault="001167E9" w:rsidP="003417E4">
      <w:pPr>
        <w:pStyle w:val="ListParagraph"/>
        <w:spacing w:after="160" w:line="480" w:lineRule="auto"/>
        <w:rPr>
          <w:rFonts w:ascii="Arial" w:hAnsi="Arial" w:cs="Arial"/>
        </w:rPr>
      </w:pPr>
    </w:p>
    <w:p w:rsidR="00935031" w:rsidRDefault="00935031" w:rsidP="00935031">
      <w:pPr>
        <w:pStyle w:val="ListParagraph"/>
        <w:spacing w:after="16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8652A8" w:rsidRPr="001A3B4E">
        <w:rPr>
          <w:rFonts w:ascii="Arial" w:hAnsi="Arial" w:cs="Arial"/>
        </w:rPr>
        <w:t xml:space="preserve">Those who have successfully completed their training program are not eligible to </w:t>
      </w:r>
    </w:p>
    <w:p w:rsidR="008652A8" w:rsidRPr="001A3B4E" w:rsidRDefault="00C41ACE" w:rsidP="00935031">
      <w:pPr>
        <w:pStyle w:val="ListParagraph"/>
        <w:spacing w:after="16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652A8" w:rsidRPr="001A3B4E">
        <w:rPr>
          <w:rFonts w:ascii="Arial" w:hAnsi="Arial" w:cs="Arial"/>
        </w:rPr>
        <w:t>apply for the same training program again.</w:t>
      </w:r>
    </w:p>
    <w:p w:rsidR="001A3B4E" w:rsidRPr="00935031" w:rsidRDefault="008652A8" w:rsidP="00935031">
      <w:pPr>
        <w:pStyle w:val="ListParagraph"/>
        <w:numPr>
          <w:ilvl w:val="0"/>
          <w:numId w:val="11"/>
        </w:numPr>
        <w:spacing w:after="160" w:line="480" w:lineRule="auto"/>
        <w:ind w:left="142"/>
        <w:rPr>
          <w:rFonts w:ascii="Arial" w:hAnsi="Arial" w:cs="Arial"/>
        </w:rPr>
      </w:pPr>
      <w:r w:rsidRPr="00935031">
        <w:rPr>
          <w:rFonts w:ascii="Arial" w:hAnsi="Arial" w:cs="Arial"/>
        </w:rPr>
        <w:t xml:space="preserve">Candidates are requested to bring their </w:t>
      </w:r>
      <w:r w:rsidR="001A3B4E" w:rsidRPr="00935031">
        <w:rPr>
          <w:rFonts w:ascii="Arial" w:hAnsi="Arial" w:cs="Arial"/>
        </w:rPr>
        <w:t xml:space="preserve">self </w:t>
      </w:r>
      <w:r w:rsidRPr="00935031">
        <w:rPr>
          <w:rFonts w:ascii="Arial" w:hAnsi="Arial" w:cs="Arial"/>
        </w:rPr>
        <w:t xml:space="preserve">attested </w:t>
      </w:r>
      <w:r w:rsidR="003417E4" w:rsidRPr="00935031">
        <w:rPr>
          <w:rFonts w:ascii="Arial" w:hAnsi="Arial" w:cs="Arial"/>
        </w:rPr>
        <w:t>photocopies of</w:t>
      </w:r>
      <w:r w:rsidR="001A3B4E" w:rsidRPr="00935031">
        <w:rPr>
          <w:rFonts w:ascii="Arial" w:hAnsi="Arial" w:cs="Arial"/>
        </w:rPr>
        <w:t xml:space="preserve"> their certificates</w:t>
      </w:r>
      <w:r w:rsidR="00D96FA8">
        <w:rPr>
          <w:rFonts w:ascii="Arial" w:hAnsi="Arial" w:cs="Arial"/>
        </w:rPr>
        <w:t xml:space="preserve"> (Age &amp; Qualification)</w:t>
      </w:r>
      <w:r w:rsidR="001A3B4E" w:rsidRPr="00935031">
        <w:rPr>
          <w:rFonts w:ascii="Arial" w:hAnsi="Arial" w:cs="Arial"/>
        </w:rPr>
        <w:t xml:space="preserve">, Passport size photo, </w:t>
      </w:r>
      <w:proofErr w:type="spellStart"/>
      <w:r w:rsidR="00D96FA8">
        <w:rPr>
          <w:rFonts w:ascii="Arial" w:hAnsi="Arial" w:cs="Arial"/>
        </w:rPr>
        <w:t>A</w:t>
      </w:r>
      <w:r w:rsidR="001A3B4E" w:rsidRPr="00935031">
        <w:rPr>
          <w:rFonts w:ascii="Arial" w:hAnsi="Arial" w:cs="Arial"/>
        </w:rPr>
        <w:t>a</w:t>
      </w:r>
      <w:bookmarkStart w:id="0" w:name="_GoBack"/>
      <w:bookmarkEnd w:id="0"/>
      <w:r w:rsidR="001A3B4E" w:rsidRPr="00935031">
        <w:rPr>
          <w:rFonts w:ascii="Arial" w:hAnsi="Arial" w:cs="Arial"/>
        </w:rPr>
        <w:t>dhaar</w:t>
      </w:r>
      <w:proofErr w:type="spellEnd"/>
      <w:r w:rsidR="001A3B4E" w:rsidRPr="00935031">
        <w:rPr>
          <w:rFonts w:ascii="Arial" w:hAnsi="Arial" w:cs="Arial"/>
        </w:rPr>
        <w:t xml:space="preserve"> card</w:t>
      </w:r>
      <w:r w:rsidR="003417E4" w:rsidRPr="00935031">
        <w:rPr>
          <w:rFonts w:ascii="Arial" w:hAnsi="Arial" w:cs="Arial"/>
        </w:rPr>
        <w:t xml:space="preserve"> </w:t>
      </w:r>
      <w:r w:rsidR="001A3B4E" w:rsidRPr="00935031">
        <w:rPr>
          <w:rFonts w:ascii="Arial" w:hAnsi="Arial" w:cs="Arial"/>
        </w:rPr>
        <w:t>(Original&amp; copy) at the time of walk- in -selection test.</w:t>
      </w:r>
    </w:p>
    <w:p w:rsidR="001A3B4E" w:rsidRPr="005E7C12" w:rsidRDefault="001A3B4E" w:rsidP="005E7C12">
      <w:pPr>
        <w:pStyle w:val="ListParagraph"/>
        <w:numPr>
          <w:ilvl w:val="0"/>
          <w:numId w:val="11"/>
        </w:numPr>
        <w:spacing w:after="160" w:line="480" w:lineRule="auto"/>
        <w:ind w:left="142" w:right="-299"/>
        <w:rPr>
          <w:rFonts w:ascii="Arial" w:hAnsi="Arial" w:cs="Arial"/>
        </w:rPr>
      </w:pPr>
      <w:r w:rsidRPr="005E7C12">
        <w:rPr>
          <w:rFonts w:ascii="Arial" w:hAnsi="Arial" w:cs="Arial"/>
        </w:rPr>
        <w:t xml:space="preserve">Experience certificates will be issued </w:t>
      </w:r>
      <w:r w:rsidR="00D96FA8">
        <w:rPr>
          <w:rFonts w:ascii="Arial" w:hAnsi="Arial" w:cs="Arial"/>
        </w:rPr>
        <w:t>as per the company policy</w:t>
      </w:r>
      <w:r w:rsidRPr="005E7C12">
        <w:rPr>
          <w:rFonts w:ascii="Arial" w:hAnsi="Arial" w:cs="Arial"/>
        </w:rPr>
        <w:t>.</w:t>
      </w:r>
    </w:p>
    <w:p w:rsidR="008652A8" w:rsidRDefault="001A3B4E" w:rsidP="001A3B4E">
      <w:pPr>
        <w:pStyle w:val="ListParagraph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5310" w:rsidRPr="00EB6977" w:rsidRDefault="000C5310" w:rsidP="00EB6977">
      <w:pPr>
        <w:spacing w:after="160" w:line="259" w:lineRule="auto"/>
        <w:rPr>
          <w:rFonts w:ascii="Arial" w:hAnsi="Arial" w:cs="Arial"/>
        </w:rPr>
      </w:pPr>
    </w:p>
    <w:sectPr w:rsidR="000C5310" w:rsidRPr="00EB6977" w:rsidSect="001167E9">
      <w:pgSz w:w="11909" w:h="16834" w:code="9"/>
      <w:pgMar w:top="0" w:right="1138" w:bottom="284" w:left="17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6AE"/>
    <w:multiLevelType w:val="hybridMultilevel"/>
    <w:tmpl w:val="AA063B2A"/>
    <w:lvl w:ilvl="0" w:tplc="11543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47A1"/>
    <w:multiLevelType w:val="hybridMultilevel"/>
    <w:tmpl w:val="DDCA51BE"/>
    <w:lvl w:ilvl="0" w:tplc="CCC2A868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1D53"/>
    <w:multiLevelType w:val="hybridMultilevel"/>
    <w:tmpl w:val="31A6F96E"/>
    <w:lvl w:ilvl="0" w:tplc="CCC2A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023D"/>
    <w:multiLevelType w:val="hybridMultilevel"/>
    <w:tmpl w:val="F4422B8A"/>
    <w:lvl w:ilvl="0" w:tplc="CCC2A8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01AA"/>
    <w:multiLevelType w:val="hybridMultilevel"/>
    <w:tmpl w:val="3D3C8F64"/>
    <w:lvl w:ilvl="0" w:tplc="4009000B">
      <w:start w:val="1"/>
      <w:numFmt w:val="bullet"/>
      <w:lvlText w:val=""/>
      <w:lvlJc w:val="left"/>
      <w:pPr>
        <w:ind w:left="25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5" w15:restartNumberingAfterBreak="0">
    <w:nsid w:val="205F1722"/>
    <w:multiLevelType w:val="hybridMultilevel"/>
    <w:tmpl w:val="948EA730"/>
    <w:lvl w:ilvl="0" w:tplc="9B0A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690793"/>
    <w:multiLevelType w:val="hybridMultilevel"/>
    <w:tmpl w:val="9B2A2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43DFE"/>
    <w:multiLevelType w:val="hybridMultilevel"/>
    <w:tmpl w:val="D0A844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65E5"/>
    <w:multiLevelType w:val="hybridMultilevel"/>
    <w:tmpl w:val="C3C4F126"/>
    <w:lvl w:ilvl="0" w:tplc="93EE76B6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DBF5393"/>
    <w:multiLevelType w:val="hybridMultilevel"/>
    <w:tmpl w:val="520C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06091"/>
    <w:multiLevelType w:val="hybridMultilevel"/>
    <w:tmpl w:val="948EA730"/>
    <w:lvl w:ilvl="0" w:tplc="9B0A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3438"/>
    <w:rsid w:val="0000145C"/>
    <w:rsid w:val="000014B6"/>
    <w:rsid w:val="00002B3C"/>
    <w:rsid w:val="0000652D"/>
    <w:rsid w:val="000071F2"/>
    <w:rsid w:val="00053312"/>
    <w:rsid w:val="000666D8"/>
    <w:rsid w:val="00082ABE"/>
    <w:rsid w:val="00092AC2"/>
    <w:rsid w:val="000A6DEB"/>
    <w:rsid w:val="000C5310"/>
    <w:rsid w:val="000F4002"/>
    <w:rsid w:val="00102FC3"/>
    <w:rsid w:val="001063E3"/>
    <w:rsid w:val="001167E9"/>
    <w:rsid w:val="00122B9E"/>
    <w:rsid w:val="0012490D"/>
    <w:rsid w:val="00136FCE"/>
    <w:rsid w:val="00157B8B"/>
    <w:rsid w:val="00187600"/>
    <w:rsid w:val="00196AAB"/>
    <w:rsid w:val="001A3B4E"/>
    <w:rsid w:val="001B4175"/>
    <w:rsid w:val="001C541B"/>
    <w:rsid w:val="001C6547"/>
    <w:rsid w:val="001D17C6"/>
    <w:rsid w:val="001D665B"/>
    <w:rsid w:val="001E5685"/>
    <w:rsid w:val="001F2014"/>
    <w:rsid w:val="00245157"/>
    <w:rsid w:val="00284838"/>
    <w:rsid w:val="002902D2"/>
    <w:rsid w:val="002D15E7"/>
    <w:rsid w:val="002E08CB"/>
    <w:rsid w:val="002E0E11"/>
    <w:rsid w:val="00302B69"/>
    <w:rsid w:val="003032E4"/>
    <w:rsid w:val="00313805"/>
    <w:rsid w:val="00315E0E"/>
    <w:rsid w:val="00325AF3"/>
    <w:rsid w:val="00325C81"/>
    <w:rsid w:val="00330470"/>
    <w:rsid w:val="003417E4"/>
    <w:rsid w:val="00347055"/>
    <w:rsid w:val="0037175C"/>
    <w:rsid w:val="003A0891"/>
    <w:rsid w:val="003B2EC1"/>
    <w:rsid w:val="003C0BA6"/>
    <w:rsid w:val="003C76B9"/>
    <w:rsid w:val="003C77F5"/>
    <w:rsid w:val="003D2653"/>
    <w:rsid w:val="003D64C0"/>
    <w:rsid w:val="004160E4"/>
    <w:rsid w:val="00430491"/>
    <w:rsid w:val="00433720"/>
    <w:rsid w:val="004511DE"/>
    <w:rsid w:val="00473210"/>
    <w:rsid w:val="00491E22"/>
    <w:rsid w:val="00497372"/>
    <w:rsid w:val="004A510C"/>
    <w:rsid w:val="004B3D7C"/>
    <w:rsid w:val="004C301E"/>
    <w:rsid w:val="004D761B"/>
    <w:rsid w:val="004E3933"/>
    <w:rsid w:val="00505A21"/>
    <w:rsid w:val="005224E3"/>
    <w:rsid w:val="005227E4"/>
    <w:rsid w:val="00542801"/>
    <w:rsid w:val="00552AD3"/>
    <w:rsid w:val="005537E9"/>
    <w:rsid w:val="00554A4F"/>
    <w:rsid w:val="005D6783"/>
    <w:rsid w:val="005E3B00"/>
    <w:rsid w:val="005E7C12"/>
    <w:rsid w:val="006248C9"/>
    <w:rsid w:val="00644E1A"/>
    <w:rsid w:val="0066439B"/>
    <w:rsid w:val="0068142A"/>
    <w:rsid w:val="006B6161"/>
    <w:rsid w:val="006B6E35"/>
    <w:rsid w:val="006D4544"/>
    <w:rsid w:val="006F270B"/>
    <w:rsid w:val="0070182D"/>
    <w:rsid w:val="0075155F"/>
    <w:rsid w:val="007B030E"/>
    <w:rsid w:val="007B5984"/>
    <w:rsid w:val="007B69A7"/>
    <w:rsid w:val="007C403F"/>
    <w:rsid w:val="007C7FFD"/>
    <w:rsid w:val="007F5A99"/>
    <w:rsid w:val="0082044B"/>
    <w:rsid w:val="00826E54"/>
    <w:rsid w:val="00837C7B"/>
    <w:rsid w:val="0084036C"/>
    <w:rsid w:val="00844612"/>
    <w:rsid w:val="008475AA"/>
    <w:rsid w:val="0085213D"/>
    <w:rsid w:val="00855795"/>
    <w:rsid w:val="008652A8"/>
    <w:rsid w:val="008973DD"/>
    <w:rsid w:val="008B6967"/>
    <w:rsid w:val="008C0B69"/>
    <w:rsid w:val="008D11C7"/>
    <w:rsid w:val="00913438"/>
    <w:rsid w:val="00930B1C"/>
    <w:rsid w:val="00935031"/>
    <w:rsid w:val="00940BF7"/>
    <w:rsid w:val="00960E71"/>
    <w:rsid w:val="00973507"/>
    <w:rsid w:val="00982C0D"/>
    <w:rsid w:val="009C1949"/>
    <w:rsid w:val="009C3357"/>
    <w:rsid w:val="009F2A37"/>
    <w:rsid w:val="009F56AD"/>
    <w:rsid w:val="00A018E8"/>
    <w:rsid w:val="00A239EF"/>
    <w:rsid w:val="00A4579B"/>
    <w:rsid w:val="00A62321"/>
    <w:rsid w:val="00A6429A"/>
    <w:rsid w:val="00A643EF"/>
    <w:rsid w:val="00A707D6"/>
    <w:rsid w:val="00A7164A"/>
    <w:rsid w:val="00A97B90"/>
    <w:rsid w:val="00AA359D"/>
    <w:rsid w:val="00AC09F6"/>
    <w:rsid w:val="00AE4B1B"/>
    <w:rsid w:val="00B2022D"/>
    <w:rsid w:val="00B2425A"/>
    <w:rsid w:val="00B26358"/>
    <w:rsid w:val="00B5604F"/>
    <w:rsid w:val="00B6153E"/>
    <w:rsid w:val="00B771E0"/>
    <w:rsid w:val="00B81A9E"/>
    <w:rsid w:val="00B96C4C"/>
    <w:rsid w:val="00BA684C"/>
    <w:rsid w:val="00BC3934"/>
    <w:rsid w:val="00C25F26"/>
    <w:rsid w:val="00C33FE0"/>
    <w:rsid w:val="00C41ACE"/>
    <w:rsid w:val="00C44070"/>
    <w:rsid w:val="00C54A2D"/>
    <w:rsid w:val="00C7457F"/>
    <w:rsid w:val="00C8743B"/>
    <w:rsid w:val="00CA3FAE"/>
    <w:rsid w:val="00CE3242"/>
    <w:rsid w:val="00CF524C"/>
    <w:rsid w:val="00D2043C"/>
    <w:rsid w:val="00D62F24"/>
    <w:rsid w:val="00D96FA8"/>
    <w:rsid w:val="00DA2AE6"/>
    <w:rsid w:val="00DA4CA1"/>
    <w:rsid w:val="00DD2AF5"/>
    <w:rsid w:val="00DD4C26"/>
    <w:rsid w:val="00E22DDA"/>
    <w:rsid w:val="00E32AAF"/>
    <w:rsid w:val="00E336D1"/>
    <w:rsid w:val="00E443A1"/>
    <w:rsid w:val="00E46B72"/>
    <w:rsid w:val="00EB6977"/>
    <w:rsid w:val="00ED17E8"/>
    <w:rsid w:val="00EE5F54"/>
    <w:rsid w:val="00F641ED"/>
    <w:rsid w:val="00F70480"/>
    <w:rsid w:val="00F83693"/>
    <w:rsid w:val="00F91A00"/>
    <w:rsid w:val="00FC42CE"/>
    <w:rsid w:val="00FD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B584"/>
  <w15:docId w15:val="{3C4BEBF2-6E77-4F51-B3C6-93353A20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E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E4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13BE-62BA-475B-82B4-70C67651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Pradeesh V</dc:creator>
  <cp:lastModifiedBy>HR</cp:lastModifiedBy>
  <cp:revision>21</cp:revision>
  <cp:lastPrinted>2025-01-08T03:48:00Z</cp:lastPrinted>
  <dcterms:created xsi:type="dcterms:W3CDTF">2024-07-23T11:26:00Z</dcterms:created>
  <dcterms:modified xsi:type="dcterms:W3CDTF">2025-01-08T03:48:00Z</dcterms:modified>
</cp:coreProperties>
</file>