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970F7" w:rsidRDefault="003970F7" w:rsidP="003970F7">
      <w:pPr>
        <w:spacing w:after="0"/>
        <w:jc w:val="center"/>
        <w:rPr>
          <w:b/>
          <w:bCs/>
          <w:sz w:val="24"/>
          <w:szCs w:val="22"/>
        </w:rPr>
      </w:pPr>
      <w:r w:rsidRPr="003970F7">
        <w:rPr>
          <w:b/>
          <w:bCs/>
          <w:sz w:val="24"/>
          <w:szCs w:val="22"/>
        </w:rPr>
        <w:t>CORRIGENDUM</w:t>
      </w:r>
      <w:r w:rsidR="004A64D7">
        <w:rPr>
          <w:b/>
          <w:bCs/>
          <w:sz w:val="24"/>
          <w:szCs w:val="22"/>
        </w:rPr>
        <w:t xml:space="preserve"> I</w:t>
      </w:r>
    </w:p>
    <w:p w:rsidR="003970F7" w:rsidRDefault="003970F7" w:rsidP="003970F7">
      <w:pPr>
        <w:spacing w:after="0"/>
        <w:jc w:val="both"/>
        <w:rPr>
          <w:sz w:val="24"/>
          <w:szCs w:val="22"/>
        </w:rPr>
      </w:pPr>
    </w:p>
    <w:p w:rsidR="003970F7" w:rsidRDefault="003970F7" w:rsidP="003970F7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>
        <w:rPr>
          <w:sz w:val="24"/>
          <w:szCs w:val="22"/>
        </w:rPr>
        <w:t xml:space="preserve">Sub: </w:t>
      </w:r>
      <w:r w:rsidRPr="005456DF">
        <w:rPr>
          <w:rFonts w:ascii="Cambria" w:hAnsi="Cambria" w:cs="Arial"/>
          <w:b/>
          <w:bCs/>
          <w:sz w:val="24"/>
          <w:szCs w:val="24"/>
        </w:rPr>
        <w:t>Construction of multistoried buildings at Thiruvananthapuram</w:t>
      </w:r>
    </w:p>
    <w:p w:rsidR="003970F7" w:rsidRDefault="003970F7" w:rsidP="003970F7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</w:p>
    <w:p w:rsidR="003970F7" w:rsidRDefault="003970F7" w:rsidP="003970F7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Ref: TENDER NO. HLL/ID/14/69 DTD 04.03.2015</w:t>
      </w:r>
    </w:p>
    <w:p w:rsidR="003970F7" w:rsidRDefault="003970F7" w:rsidP="003970F7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</w:p>
    <w:p w:rsidR="003970F7" w:rsidRDefault="003970F7" w:rsidP="003970F7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</w:p>
    <w:p w:rsidR="003970F7" w:rsidRPr="0099082F" w:rsidRDefault="003970F7" w:rsidP="0099082F">
      <w:pPr>
        <w:pStyle w:val="ListParagraph"/>
        <w:numPr>
          <w:ilvl w:val="0"/>
          <w:numId w:val="4"/>
        </w:numPr>
        <w:spacing w:after="0"/>
        <w:ind w:left="360" w:hanging="270"/>
        <w:jc w:val="both"/>
        <w:rPr>
          <w:rFonts w:ascii="Cambria" w:hAnsi="Cambria" w:cs="Arial"/>
          <w:sz w:val="24"/>
          <w:szCs w:val="24"/>
        </w:rPr>
      </w:pPr>
      <w:r w:rsidRPr="0099082F">
        <w:rPr>
          <w:rFonts w:ascii="Cambria" w:hAnsi="Cambria" w:cs="Arial"/>
          <w:sz w:val="24"/>
          <w:szCs w:val="24"/>
        </w:rPr>
        <w:t>The following documents shall form part of the tender documents:</w:t>
      </w:r>
    </w:p>
    <w:p w:rsidR="003970F7" w:rsidRDefault="003970F7" w:rsidP="003970F7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3970F7" w:rsidRDefault="003970F7" w:rsidP="003970F7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Special conditions &amp; additional conditions (Part III)</w:t>
      </w:r>
    </w:p>
    <w:p w:rsidR="003970F7" w:rsidRDefault="003970F7" w:rsidP="003970F7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Schedule for External electrification</w:t>
      </w:r>
    </w:p>
    <w:p w:rsidR="003970F7" w:rsidRDefault="003970F7" w:rsidP="003970F7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Drawings </w:t>
      </w:r>
    </w:p>
    <w:p w:rsidR="003970F7" w:rsidRPr="003970F7" w:rsidRDefault="003970F7" w:rsidP="003970F7">
      <w:pPr>
        <w:spacing w:after="0"/>
        <w:jc w:val="both"/>
        <w:rPr>
          <w:rFonts w:ascii="Cambria" w:hAnsi="Cambria" w:cs="Arial"/>
          <w:szCs w:val="22"/>
        </w:rPr>
      </w:pPr>
    </w:p>
    <w:p w:rsidR="003970F7" w:rsidRPr="0099082F" w:rsidRDefault="003970F7" w:rsidP="0099082F">
      <w:pPr>
        <w:pStyle w:val="ListParagraph"/>
        <w:numPr>
          <w:ilvl w:val="0"/>
          <w:numId w:val="4"/>
        </w:numPr>
        <w:spacing w:after="0"/>
        <w:ind w:left="360" w:hanging="270"/>
        <w:jc w:val="both"/>
        <w:rPr>
          <w:rFonts w:ascii="Cambria" w:hAnsi="Cambria" w:cs="Arial"/>
          <w:sz w:val="24"/>
          <w:szCs w:val="24"/>
        </w:rPr>
      </w:pPr>
      <w:r w:rsidRPr="0099082F">
        <w:rPr>
          <w:rFonts w:ascii="Cambria" w:hAnsi="Cambria" w:cs="Arial"/>
          <w:sz w:val="24"/>
          <w:szCs w:val="24"/>
        </w:rPr>
        <w:t>The following clause is added to the eligibility criteria:</w:t>
      </w:r>
    </w:p>
    <w:p w:rsidR="003970F7" w:rsidRPr="003970F7" w:rsidRDefault="003970F7" w:rsidP="003970F7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3970F7" w:rsidRDefault="003970F7" w:rsidP="003970F7">
      <w:pPr>
        <w:numPr>
          <w:ilvl w:val="0"/>
          <w:numId w:val="2"/>
        </w:numPr>
        <w:tabs>
          <w:tab w:val="num" w:pos="360"/>
          <w:tab w:val="left" w:pos="990"/>
          <w:tab w:val="num" w:pos="216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9082F">
        <w:rPr>
          <w:rFonts w:ascii="Cambria" w:hAnsi="Cambria" w:cs="Arial"/>
          <w:sz w:val="24"/>
          <w:szCs w:val="24"/>
        </w:rPr>
        <w:t xml:space="preserve">In case of electrical works, the electrical contractor should have valid appropriate electrical license from the Kerala State </w:t>
      </w:r>
      <w:r w:rsidR="0099082F" w:rsidRPr="0099082F">
        <w:rPr>
          <w:rFonts w:ascii="Cambria" w:hAnsi="Cambria" w:cs="Arial"/>
          <w:sz w:val="24"/>
          <w:szCs w:val="24"/>
        </w:rPr>
        <w:t>Kerala State Electrical Licensing Board.</w:t>
      </w:r>
      <w:r w:rsidRPr="0099082F">
        <w:rPr>
          <w:rFonts w:ascii="Cambria" w:hAnsi="Cambria" w:cs="Arial"/>
          <w:sz w:val="24"/>
          <w:szCs w:val="24"/>
        </w:rPr>
        <w:t xml:space="preserve"> </w:t>
      </w:r>
      <w:r w:rsidR="0099082F" w:rsidRPr="0099082F">
        <w:rPr>
          <w:rFonts w:ascii="Cambria" w:hAnsi="Cambria" w:cs="Arial"/>
          <w:sz w:val="24"/>
          <w:szCs w:val="24"/>
        </w:rPr>
        <w:t xml:space="preserve">The copy of the </w:t>
      </w:r>
      <w:r w:rsidR="0099082F">
        <w:rPr>
          <w:rFonts w:ascii="Cambria" w:hAnsi="Cambria" w:cs="Arial"/>
          <w:sz w:val="24"/>
          <w:szCs w:val="24"/>
        </w:rPr>
        <w:t xml:space="preserve">license shall be submitted along with the tender documents. </w:t>
      </w:r>
    </w:p>
    <w:p w:rsidR="0099082F" w:rsidRDefault="0099082F" w:rsidP="0099082F">
      <w:pPr>
        <w:tabs>
          <w:tab w:val="left" w:pos="990"/>
          <w:tab w:val="num" w:pos="216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99082F" w:rsidRDefault="0099082F" w:rsidP="0099082F">
      <w:pPr>
        <w:pStyle w:val="ListParagraph"/>
        <w:numPr>
          <w:ilvl w:val="0"/>
          <w:numId w:val="4"/>
        </w:numPr>
        <w:tabs>
          <w:tab w:val="left" w:pos="990"/>
          <w:tab w:val="num" w:pos="2160"/>
        </w:tabs>
        <w:spacing w:after="0" w:line="240" w:lineRule="auto"/>
        <w:ind w:left="360" w:hanging="27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The LOA for the </w:t>
      </w:r>
      <w:proofErr w:type="gramStart"/>
      <w:r>
        <w:rPr>
          <w:rFonts w:ascii="Cambria" w:hAnsi="Cambria" w:cs="Arial"/>
          <w:sz w:val="24"/>
          <w:szCs w:val="24"/>
        </w:rPr>
        <w:t>Civil</w:t>
      </w:r>
      <w:proofErr w:type="gramEnd"/>
      <w:r>
        <w:rPr>
          <w:rFonts w:ascii="Cambria" w:hAnsi="Cambria" w:cs="Arial"/>
          <w:sz w:val="24"/>
          <w:szCs w:val="24"/>
        </w:rPr>
        <w:t xml:space="preserve"> works &amp; internal electrification will be issued at first. The LOA for the services and internal roads will be issued based on the progress of civil works. </w:t>
      </w:r>
    </w:p>
    <w:p w:rsidR="0099082F" w:rsidRDefault="0099082F" w:rsidP="0099082F">
      <w:pPr>
        <w:pStyle w:val="ListParagraph"/>
        <w:tabs>
          <w:tab w:val="left" w:pos="990"/>
        </w:tabs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</w:p>
    <w:p w:rsidR="0099082F" w:rsidRDefault="0099082F" w:rsidP="0099082F">
      <w:pPr>
        <w:pStyle w:val="ListParagraph"/>
        <w:numPr>
          <w:ilvl w:val="0"/>
          <w:numId w:val="4"/>
        </w:numPr>
        <w:tabs>
          <w:tab w:val="left" w:pos="990"/>
          <w:tab w:val="num" w:pos="2160"/>
        </w:tabs>
        <w:spacing w:after="0" w:line="240" w:lineRule="auto"/>
        <w:ind w:left="360" w:hanging="27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The estimated cost of External electrification is amended as Rs. 4.00 Crores. The EMD for external electrification will be Rs. 8.00 </w:t>
      </w:r>
      <w:proofErr w:type="spellStart"/>
      <w:r>
        <w:rPr>
          <w:rFonts w:ascii="Cambria" w:hAnsi="Cambria" w:cs="Arial"/>
          <w:sz w:val="24"/>
          <w:szCs w:val="24"/>
        </w:rPr>
        <w:t>lakhs</w:t>
      </w:r>
      <w:proofErr w:type="spellEnd"/>
      <w:r>
        <w:rPr>
          <w:rFonts w:ascii="Cambria" w:hAnsi="Cambria" w:cs="Arial"/>
          <w:sz w:val="24"/>
          <w:szCs w:val="24"/>
        </w:rPr>
        <w:t>.</w:t>
      </w:r>
    </w:p>
    <w:p w:rsidR="0099082F" w:rsidRPr="0099082F" w:rsidRDefault="0099082F" w:rsidP="0099082F">
      <w:pPr>
        <w:pStyle w:val="ListParagraph"/>
        <w:rPr>
          <w:rFonts w:ascii="Cambria" w:hAnsi="Cambria" w:cs="Arial"/>
          <w:sz w:val="24"/>
          <w:szCs w:val="24"/>
        </w:rPr>
      </w:pPr>
    </w:p>
    <w:p w:rsidR="0099082F" w:rsidRDefault="0099082F" w:rsidP="0099082F">
      <w:pPr>
        <w:tabs>
          <w:tab w:val="left" w:pos="990"/>
          <w:tab w:val="num" w:pos="216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99082F" w:rsidRPr="0099082F" w:rsidRDefault="0099082F" w:rsidP="0099082F">
      <w:pPr>
        <w:tabs>
          <w:tab w:val="left" w:pos="990"/>
          <w:tab w:val="num" w:pos="216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All other conditions will remain unchanged.</w:t>
      </w:r>
    </w:p>
    <w:sectPr w:rsidR="0099082F" w:rsidRPr="00990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74E"/>
    <w:multiLevelType w:val="hybridMultilevel"/>
    <w:tmpl w:val="20FE0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C010A"/>
    <w:multiLevelType w:val="hybridMultilevel"/>
    <w:tmpl w:val="BDD2AA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E4D08"/>
    <w:multiLevelType w:val="hybridMultilevel"/>
    <w:tmpl w:val="6D40C4C4"/>
    <w:lvl w:ilvl="0" w:tplc="646AB98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6B213B5"/>
    <w:multiLevelType w:val="multilevel"/>
    <w:tmpl w:val="4F82AB3E"/>
    <w:lvl w:ilvl="0">
      <w:start w:val="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70F7"/>
    <w:rsid w:val="003970F7"/>
    <w:rsid w:val="004A64D7"/>
    <w:rsid w:val="0099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0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4</cp:revision>
  <dcterms:created xsi:type="dcterms:W3CDTF">2015-03-06T12:30:00Z</dcterms:created>
  <dcterms:modified xsi:type="dcterms:W3CDTF">2015-03-06T12:39:00Z</dcterms:modified>
</cp:coreProperties>
</file>